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2D4F" w14:textId="77777777" w:rsidR="00D86F3F" w:rsidRPr="00D86F3F" w:rsidRDefault="00D86F3F" w:rsidP="00D86F3F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D86F3F">
        <w:rPr>
          <w:b/>
          <w:bCs/>
          <w:sz w:val="28"/>
          <w:szCs w:val="28"/>
          <w:lang w:val="en-US"/>
        </w:rPr>
        <w:t>Creation of Material Libraries of Wide and Ultra-Wide Bandgap Conductive Oxides by Combinatorial Pulsed Laser Deposition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22E48456" w14:textId="37CAE4BE" w:rsidR="0007701F" w:rsidRPr="0014223E" w:rsidRDefault="00792CA8" w:rsidP="00172F51">
      <w:pPr>
        <w:pStyle w:val="Default"/>
        <w:jc w:val="center"/>
        <w:rPr>
          <w:sz w:val="22"/>
          <w:szCs w:val="22"/>
          <w:lang w:val="de-DE"/>
        </w:rPr>
      </w:pPr>
      <w:r w:rsidRPr="0014223E">
        <w:rPr>
          <w:sz w:val="22"/>
          <w:szCs w:val="22"/>
          <w:lang w:val="de-DE"/>
        </w:rPr>
        <w:t>Holger von Wenckstern</w:t>
      </w:r>
      <w:r w:rsidR="00172F51" w:rsidRPr="0014223E">
        <w:rPr>
          <w:sz w:val="22"/>
          <w:szCs w:val="22"/>
          <w:lang w:val="de-DE"/>
        </w:rPr>
        <w:t xml:space="preserve">, </w:t>
      </w:r>
    </w:p>
    <w:p w14:paraId="33B59775" w14:textId="6DCE81A8" w:rsidR="00172F51" w:rsidRPr="0014223E" w:rsidRDefault="00172F51" w:rsidP="0014223E">
      <w:pPr>
        <w:pStyle w:val="Default"/>
        <w:jc w:val="center"/>
        <w:rPr>
          <w:sz w:val="22"/>
          <w:szCs w:val="22"/>
        </w:rPr>
      </w:pPr>
      <w:r w:rsidRPr="001B4AF7">
        <w:rPr>
          <w:i/>
          <w:iCs/>
          <w:sz w:val="22"/>
          <w:szCs w:val="22"/>
          <w:vertAlign w:val="superscript"/>
          <w:lang w:val="en-US"/>
        </w:rPr>
        <w:t>1</w:t>
      </w:r>
      <w:r w:rsidRPr="001B4AF7">
        <w:rPr>
          <w:i/>
          <w:iCs/>
          <w:sz w:val="22"/>
          <w:szCs w:val="22"/>
          <w:lang w:val="en-US"/>
        </w:rPr>
        <w:t xml:space="preserve"> </w:t>
      </w:r>
      <w:r w:rsidR="0014223E" w:rsidRPr="001B4AF7">
        <w:rPr>
          <w:i/>
          <w:iCs/>
          <w:sz w:val="22"/>
          <w:szCs w:val="22"/>
          <w:lang w:val="en-US"/>
        </w:rPr>
        <w:t>Universität Leipzig, Felix</w:t>
      </w:r>
      <w:r w:rsidR="0014223E" w:rsidRPr="001B4AF7">
        <w:rPr>
          <w:i/>
          <w:iCs/>
          <w:sz w:val="22"/>
          <w:szCs w:val="22"/>
          <w:lang w:val="en-US"/>
        </w:rPr>
        <w:t xml:space="preserve"> </w:t>
      </w:r>
      <w:r w:rsidR="0014223E" w:rsidRPr="001B4AF7">
        <w:rPr>
          <w:i/>
          <w:iCs/>
          <w:sz w:val="22"/>
          <w:szCs w:val="22"/>
          <w:lang w:val="en-US"/>
        </w:rPr>
        <w:t>Bloch</w:t>
      </w:r>
      <w:r w:rsidR="0014223E" w:rsidRPr="001B4AF7">
        <w:rPr>
          <w:i/>
          <w:iCs/>
          <w:sz w:val="22"/>
          <w:szCs w:val="22"/>
          <w:lang w:val="en-US"/>
        </w:rPr>
        <w:t xml:space="preserve"> </w:t>
      </w:r>
      <w:r w:rsidR="00080616" w:rsidRPr="001B4AF7">
        <w:rPr>
          <w:i/>
          <w:iCs/>
          <w:sz w:val="22"/>
          <w:szCs w:val="22"/>
          <w:lang w:val="en-US"/>
        </w:rPr>
        <w:t>Institute</w:t>
      </w:r>
      <w:r w:rsidR="0014223E" w:rsidRPr="001B4AF7">
        <w:rPr>
          <w:i/>
          <w:iCs/>
          <w:sz w:val="22"/>
          <w:szCs w:val="22"/>
          <w:lang w:val="en-US"/>
        </w:rPr>
        <w:t xml:space="preserve"> </w:t>
      </w:r>
      <w:r w:rsidR="0014223E" w:rsidRPr="001B4AF7">
        <w:rPr>
          <w:i/>
          <w:iCs/>
          <w:sz w:val="22"/>
          <w:szCs w:val="22"/>
          <w:lang w:val="en-US"/>
        </w:rPr>
        <w:t>for Solid State Physics, Combinatorial Epitaxy</w:t>
      </w:r>
      <w:r w:rsidR="0014223E" w:rsidRPr="001B4AF7">
        <w:rPr>
          <w:i/>
          <w:iCs/>
          <w:sz w:val="22"/>
          <w:szCs w:val="22"/>
          <w:lang w:val="en-US"/>
        </w:rPr>
        <w:t xml:space="preserve">, </w:t>
      </w:r>
      <w:r w:rsidR="0014223E" w:rsidRPr="001B4AF7">
        <w:rPr>
          <w:i/>
          <w:iCs/>
          <w:sz w:val="22"/>
          <w:szCs w:val="22"/>
          <w:lang w:val="en-US"/>
        </w:rPr>
        <w:br/>
      </w:r>
      <w:r w:rsidR="0014223E" w:rsidRPr="001B4AF7">
        <w:rPr>
          <w:i/>
          <w:iCs/>
          <w:sz w:val="22"/>
          <w:szCs w:val="22"/>
          <w:lang w:val="en-US"/>
        </w:rPr>
        <w:t>Leipzig, Germany</w:t>
      </w:r>
    </w:p>
    <w:p w14:paraId="536DF3AA" w14:textId="77777777" w:rsidR="00172F51" w:rsidRPr="001B4AF7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201C4338" w14:textId="77777777" w:rsidR="009A2F5D" w:rsidRPr="009A2F5D" w:rsidRDefault="00311501" w:rsidP="009A2F5D">
      <w:pPr>
        <w:pStyle w:val="Default"/>
        <w:jc w:val="both"/>
        <w:rPr>
          <w:lang w:val="en-US"/>
        </w:rPr>
      </w:pPr>
      <w:r w:rsidRPr="00311501">
        <w:rPr>
          <w:lang w:val="en-US"/>
        </w:rPr>
        <w:t xml:space="preserve">The discovery of new functional materials by exploring the phase space of </w:t>
      </w:r>
      <w:proofErr w:type="spellStart"/>
      <w:r w:rsidRPr="00311501">
        <w:rPr>
          <w:lang w:val="en-US"/>
        </w:rPr>
        <w:t>multinary</w:t>
      </w:r>
      <w:proofErr w:type="spellEnd"/>
      <w:r w:rsidRPr="00311501">
        <w:rPr>
          <w:lang w:val="en-US"/>
        </w:rPr>
        <w:t xml:space="preserve"> alloys is</w:t>
      </w:r>
      <w:r>
        <w:rPr>
          <w:lang w:val="en-US"/>
        </w:rPr>
        <w:t xml:space="preserve"> </w:t>
      </w:r>
      <w:r w:rsidRPr="00311501">
        <w:rPr>
          <w:lang w:val="en-US"/>
        </w:rPr>
        <w:t>greatly accelerated by high-throughput experimental and computational screening methods</w:t>
      </w:r>
      <w:r w:rsidR="009A2F5D" w:rsidRPr="009A2F5D">
        <w:t xml:space="preserve"> </w:t>
      </w:r>
      <w:r w:rsidR="009A2F5D" w:rsidRPr="009A2F5D">
        <w:rPr>
          <w:lang w:val="en-US"/>
        </w:rPr>
        <w:t>In the realm of experimental research, high-throughput screening necessitates the utilization of sample sets that exhibit a systematic variation in material properties. These properties may include, but are not limited to, chemical composition, layer thickness, and other parameters</w:t>
      </w:r>
      <w:r w:rsidRPr="00311501">
        <w:rPr>
          <w:lang w:val="en-US"/>
        </w:rPr>
        <w:t>. These can, among other methods, be realized by combinatorial pulsed laser deposition (C-PLD) enabling to create spatially addressable material libraries to be analyzed with spatially resolving physical property screening methods for</w:t>
      </w:r>
      <w:r>
        <w:rPr>
          <w:lang w:val="en-US"/>
        </w:rPr>
        <w:t xml:space="preserve"> </w:t>
      </w:r>
      <w:r w:rsidRPr="00311501">
        <w:rPr>
          <w:lang w:val="en-US"/>
        </w:rPr>
        <w:t xml:space="preserve">high-throughput characterization [1]. </w:t>
      </w:r>
      <w:r w:rsidR="009A2F5D" w:rsidRPr="009A2F5D">
        <w:rPr>
          <w:lang w:val="en-US"/>
        </w:rPr>
        <w:t>The current status of C-PLD will be discussed, along with recent methodological developments.</w:t>
      </w:r>
    </w:p>
    <w:p w14:paraId="10F46F38" w14:textId="774B757C" w:rsidR="00CA7EF2" w:rsidRDefault="009A2F5D" w:rsidP="009A2F5D">
      <w:pPr>
        <w:pStyle w:val="Default"/>
        <w:jc w:val="both"/>
        <w:rPr>
          <w:lang w:val="en-US"/>
        </w:rPr>
      </w:pPr>
      <w:r w:rsidRPr="009A2F5D">
        <w:rPr>
          <w:lang w:val="en-US"/>
        </w:rPr>
        <w:t xml:space="preserve">We will illustrate the implementation of segmented PLD targets in the creation of lateral and vertical continuous composition spread material libraries (CCS-ML) for wide and ultra-wide bandgap group III </w:t>
      </w:r>
      <w:proofErr w:type="spellStart"/>
      <w:r w:rsidRPr="009A2F5D">
        <w:rPr>
          <w:lang w:val="en-US"/>
        </w:rPr>
        <w:t>sesquioxides</w:t>
      </w:r>
      <w:proofErr w:type="spellEnd"/>
      <w:r w:rsidRPr="009A2F5D">
        <w:rPr>
          <w:lang w:val="en-US"/>
        </w:rPr>
        <w:t xml:space="preserve"> or transition metal </w:t>
      </w:r>
      <w:proofErr w:type="spellStart"/>
      <w:r w:rsidRPr="009A2F5D">
        <w:rPr>
          <w:lang w:val="en-US"/>
        </w:rPr>
        <w:t>sesquioxides</w:t>
      </w:r>
      <w:proofErr w:type="spellEnd"/>
      <w:r w:rsidRPr="009A2F5D">
        <w:rPr>
          <w:lang w:val="en-US"/>
        </w:rPr>
        <w:t xml:space="preserve"> [2]. Group III </w:t>
      </w:r>
      <w:proofErr w:type="spellStart"/>
      <w:r w:rsidRPr="009A2F5D">
        <w:rPr>
          <w:lang w:val="en-US"/>
        </w:rPr>
        <w:t>sesquioxides</w:t>
      </w:r>
      <w:proofErr w:type="spellEnd"/>
      <w:r w:rsidRPr="009A2F5D">
        <w:rPr>
          <w:lang w:val="en-US"/>
        </w:rPr>
        <w:t xml:space="preserve"> have emerged as promising materials for applications in next-generation high-power electronic devices [3].</w:t>
      </w:r>
      <w:r w:rsidR="00311501" w:rsidRPr="00311501">
        <w:rPr>
          <w:lang w:val="en-US"/>
        </w:rPr>
        <w:t xml:space="preserve"> We address the physical properties of various polymorphs of (</w:t>
      </w:r>
      <w:proofErr w:type="spellStart"/>
      <w:r w:rsidR="00311501" w:rsidRPr="00311501">
        <w:rPr>
          <w:lang w:val="en-US"/>
        </w:rPr>
        <w:t>Al,Ga,In</w:t>
      </w:r>
      <w:proofErr w:type="spellEnd"/>
      <w:r w:rsidR="00311501" w:rsidRPr="00311501">
        <w:rPr>
          <w:lang w:val="en-US"/>
        </w:rPr>
        <w:t>)</w:t>
      </w:r>
      <w:r w:rsidR="00311501" w:rsidRPr="00D86F3F">
        <w:rPr>
          <w:vertAlign w:val="subscript"/>
          <w:lang w:val="en-US"/>
        </w:rPr>
        <w:t>2</w:t>
      </w:r>
      <w:r w:rsidR="00311501" w:rsidRPr="00311501">
        <w:rPr>
          <w:lang w:val="en-US"/>
        </w:rPr>
        <w:t>O</w:t>
      </w:r>
      <w:r w:rsidR="00311501" w:rsidRPr="00D86F3F">
        <w:rPr>
          <w:vertAlign w:val="subscript"/>
          <w:lang w:val="en-US"/>
        </w:rPr>
        <w:t>3</w:t>
      </w:r>
      <w:r w:rsidR="00311501" w:rsidRPr="00311501">
        <w:rPr>
          <w:lang w:val="en-US"/>
        </w:rPr>
        <w:t xml:space="preserve"> as a function</w:t>
      </w:r>
      <w:r w:rsidR="00311501">
        <w:rPr>
          <w:lang w:val="en-US"/>
        </w:rPr>
        <w:t xml:space="preserve"> </w:t>
      </w:r>
      <w:r w:rsidR="00311501" w:rsidRPr="00311501">
        <w:rPr>
          <w:lang w:val="en-US"/>
        </w:rPr>
        <w:t xml:space="preserve">of cation composition. </w:t>
      </w:r>
    </w:p>
    <w:p w14:paraId="2C7690EF" w14:textId="77777777" w:rsidR="00CA7EF2" w:rsidRDefault="00CA7EF2" w:rsidP="001B4AF7">
      <w:pPr>
        <w:pStyle w:val="Default"/>
        <w:jc w:val="both"/>
        <w:rPr>
          <w:lang w:val="en-US"/>
        </w:rPr>
      </w:pPr>
    </w:p>
    <w:p w14:paraId="57024F35" w14:textId="402CD04E" w:rsidR="00CA7EF2" w:rsidRDefault="009A2F5D" w:rsidP="001B4AF7">
      <w:pPr>
        <w:pStyle w:val="Default"/>
        <w:jc w:val="both"/>
        <w:rPr>
          <w:lang w:val="en-US"/>
        </w:rPr>
      </w:pPr>
      <w:r>
        <w:rPr>
          <w:lang w:val="en-US"/>
        </w:rPr>
        <w:t>Additionally</w:t>
      </w:r>
      <w:r w:rsidR="00CA7EF2">
        <w:rPr>
          <w:lang w:val="en-US"/>
        </w:rPr>
        <w:t>,</w:t>
      </w:r>
      <w:r w:rsidR="00CA7EF2" w:rsidRPr="00CA7EF2">
        <w:rPr>
          <w:lang w:val="en-US"/>
        </w:rPr>
        <w:t xml:space="preserve"> the physical properties of</w:t>
      </w:r>
      <w:r w:rsidR="00CA7EF2">
        <w:rPr>
          <w:lang w:val="en-US"/>
        </w:rPr>
        <w:t xml:space="preserve"> ternary</w:t>
      </w:r>
      <w:r w:rsidR="00CA7EF2" w:rsidRPr="00CA7EF2">
        <w:rPr>
          <w:lang w:val="en-US"/>
        </w:rPr>
        <w:t xml:space="preserve"> α-(</w:t>
      </w:r>
      <w:proofErr w:type="spellStart"/>
      <w:r w:rsidR="00CA7EF2" w:rsidRPr="00CA7EF2">
        <w:rPr>
          <w:lang w:val="en-US"/>
        </w:rPr>
        <w:t>Me,Ga</w:t>
      </w:r>
      <w:proofErr w:type="spellEnd"/>
      <w:r w:rsidR="00CA7EF2" w:rsidRPr="00CA7EF2">
        <w:rPr>
          <w:lang w:val="en-US"/>
        </w:rPr>
        <w:t>)</w:t>
      </w:r>
      <w:r w:rsidR="00CA7EF2" w:rsidRPr="009A2F5D">
        <w:rPr>
          <w:vertAlign w:val="subscript"/>
          <w:lang w:val="en-US"/>
        </w:rPr>
        <w:t>2</w:t>
      </w:r>
      <w:r w:rsidR="00CA7EF2" w:rsidRPr="00CA7EF2">
        <w:rPr>
          <w:lang w:val="en-US"/>
        </w:rPr>
        <w:t>O</w:t>
      </w:r>
      <w:r w:rsidR="00CA7EF2" w:rsidRPr="009A2F5D">
        <w:rPr>
          <w:vertAlign w:val="subscript"/>
          <w:lang w:val="en-US"/>
        </w:rPr>
        <w:t>3</w:t>
      </w:r>
      <w:r w:rsidR="00CA7EF2">
        <w:rPr>
          <w:lang w:val="en-US"/>
        </w:rPr>
        <w:t xml:space="preserve"> TCOs are presented</w:t>
      </w:r>
      <w:r w:rsidR="00CA7EF2" w:rsidRPr="00CA7EF2">
        <w:rPr>
          <w:lang w:val="en-US"/>
        </w:rPr>
        <w:t xml:space="preserve">. </w:t>
      </w:r>
      <w:r w:rsidR="00CA7EF2">
        <w:rPr>
          <w:lang w:val="en-US"/>
        </w:rPr>
        <w:t>S</w:t>
      </w:r>
      <w:r w:rsidR="00CA7EF2" w:rsidRPr="00CA7EF2">
        <w:rPr>
          <w:lang w:val="en-US"/>
        </w:rPr>
        <w:t>patially addressable</w:t>
      </w:r>
      <w:r w:rsidR="00CA7EF2">
        <w:rPr>
          <w:lang w:val="en-US"/>
        </w:rPr>
        <w:t xml:space="preserve"> CCS-MLs</w:t>
      </w:r>
      <w:r w:rsidR="00CA7EF2" w:rsidRPr="00CA7EF2">
        <w:rPr>
          <w:lang w:val="en-US"/>
        </w:rPr>
        <w:t xml:space="preserve"> of (Cr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Ga</w:t>
      </w:r>
      <w:r w:rsidR="00CA7EF2" w:rsidRPr="009A2F5D">
        <w:rPr>
          <w:vertAlign w:val="subscript"/>
          <w:lang w:val="en-US"/>
        </w:rPr>
        <w:t>1-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)</w:t>
      </w:r>
      <w:r w:rsidR="00CA7EF2" w:rsidRPr="009A2F5D">
        <w:rPr>
          <w:vertAlign w:val="subscript"/>
          <w:lang w:val="en-US"/>
        </w:rPr>
        <w:t>2</w:t>
      </w:r>
      <w:r w:rsidR="00CA7EF2" w:rsidRPr="00CA7EF2">
        <w:rPr>
          <w:lang w:val="en-US"/>
        </w:rPr>
        <w:t>O</w:t>
      </w:r>
      <w:r w:rsidR="00CA7EF2"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>, (Ti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Ga</w:t>
      </w:r>
      <w:r w:rsidR="00CA7EF2" w:rsidRPr="009A2F5D">
        <w:rPr>
          <w:vertAlign w:val="subscript"/>
          <w:lang w:val="en-US"/>
        </w:rPr>
        <w:t>1-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)</w:t>
      </w:r>
      <w:r w:rsidR="00CA7EF2" w:rsidRPr="009A2F5D">
        <w:rPr>
          <w:vertAlign w:val="subscript"/>
          <w:lang w:val="en-US"/>
        </w:rPr>
        <w:t>2</w:t>
      </w:r>
      <w:r w:rsidR="00CA7EF2" w:rsidRPr="00CA7EF2">
        <w:rPr>
          <w:lang w:val="en-US"/>
        </w:rPr>
        <w:t>O</w:t>
      </w:r>
      <w:r w:rsidR="00CA7EF2"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>, and (V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Ga</w:t>
      </w:r>
      <w:r w:rsidR="00CA7EF2" w:rsidRPr="009A2F5D">
        <w:rPr>
          <w:vertAlign w:val="subscript"/>
          <w:lang w:val="en-US"/>
        </w:rPr>
        <w:t>1-</w:t>
      </w:r>
      <w:r w:rsidR="00CA7EF2" w:rsidRPr="009A2F5D">
        <w:rPr>
          <w:i/>
          <w:iCs/>
          <w:vertAlign w:val="subscript"/>
          <w:lang w:val="en-US"/>
        </w:rPr>
        <w:t>x</w:t>
      </w:r>
      <w:r w:rsidR="00CA7EF2" w:rsidRPr="00CA7EF2">
        <w:rPr>
          <w:lang w:val="en-US"/>
        </w:rPr>
        <w:t>)</w:t>
      </w:r>
      <w:r w:rsidR="00CA7EF2" w:rsidRPr="009A2F5D">
        <w:rPr>
          <w:vertAlign w:val="subscript"/>
          <w:lang w:val="en-US"/>
        </w:rPr>
        <w:t>2</w:t>
      </w:r>
      <w:r w:rsidR="00CA7EF2" w:rsidRPr="00CA7EF2">
        <w:rPr>
          <w:lang w:val="en-US"/>
        </w:rPr>
        <w:t>O</w:t>
      </w:r>
      <w:r w:rsidR="00CA7EF2"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 xml:space="preserve"> </w:t>
      </w:r>
      <w:r w:rsidR="00CA7EF2">
        <w:rPr>
          <w:lang w:val="en-US"/>
        </w:rPr>
        <w:t>were synthesized by</w:t>
      </w:r>
      <w:r w:rsidR="00CA7EF2" w:rsidRPr="00CA7EF2">
        <w:rPr>
          <w:lang w:val="en-US"/>
        </w:rPr>
        <w:t xml:space="preserve"> </w:t>
      </w:r>
      <w:r w:rsidR="00CA7EF2">
        <w:rPr>
          <w:lang w:val="en-US"/>
        </w:rPr>
        <w:t>C-</w:t>
      </w:r>
      <w:r w:rsidR="00CA7EF2" w:rsidRPr="00CA7EF2">
        <w:rPr>
          <w:lang w:val="en-US"/>
        </w:rPr>
        <w:t xml:space="preserve">PLD over a </w:t>
      </w:r>
      <w:r>
        <w:rPr>
          <w:lang w:val="en-US"/>
        </w:rPr>
        <w:t>broad</w:t>
      </w:r>
      <w:r w:rsidR="00CA7EF2" w:rsidRPr="00CA7EF2">
        <w:rPr>
          <w:lang w:val="en-US"/>
        </w:rPr>
        <w:t xml:space="preserve"> compositional range with high chemical resolution</w:t>
      </w:r>
      <w:r w:rsidR="00D86F3F">
        <w:rPr>
          <w:lang w:val="en-US"/>
        </w:rPr>
        <w:t xml:space="preserve"> and experimentally investigated by</w:t>
      </w:r>
      <w:r w:rsidR="00CA7EF2" w:rsidRPr="00CA7EF2">
        <w:rPr>
          <w:lang w:val="en-US"/>
        </w:rPr>
        <w:t xml:space="preserve"> </w:t>
      </w:r>
      <w:r w:rsidR="00D86F3F">
        <w:rPr>
          <w:lang w:val="en-US"/>
        </w:rPr>
        <w:t>h</w:t>
      </w:r>
      <w:r w:rsidR="00CA7EF2" w:rsidRPr="00CA7EF2">
        <w:rPr>
          <w:lang w:val="en-US"/>
        </w:rPr>
        <w:t>igh-throughput</w:t>
      </w:r>
      <w:r w:rsidR="00CA7EF2">
        <w:rPr>
          <w:lang w:val="en-US"/>
        </w:rPr>
        <w:t xml:space="preserve"> </w:t>
      </w:r>
      <w:r w:rsidR="00D86F3F">
        <w:rPr>
          <w:lang w:val="en-US"/>
        </w:rPr>
        <w:t>mapping using</w:t>
      </w:r>
      <w:r w:rsidR="002F7D21">
        <w:rPr>
          <w:lang w:val="en-US"/>
        </w:rPr>
        <w:t xml:space="preserve"> a variety of analytical methods including</w:t>
      </w:r>
      <w:r w:rsidR="00CA7EF2" w:rsidRPr="00CA7EF2">
        <w:rPr>
          <w:lang w:val="en-US"/>
        </w:rPr>
        <w:t xml:space="preserve"> X-ray diffraction, energy-dispersive X-ray spectroscopy, UV-VIS transmission and spectroscopic ellipsometry measurements. For </w:t>
      </w:r>
      <w:r w:rsidRPr="00CA7EF2">
        <w:rPr>
          <w:lang w:val="en-US"/>
        </w:rPr>
        <w:t>(Cr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Ga</w:t>
      </w:r>
      <w:r w:rsidRPr="009A2F5D">
        <w:rPr>
          <w:vertAlign w:val="subscript"/>
          <w:lang w:val="en-US"/>
        </w:rPr>
        <w:t>1-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)</w:t>
      </w:r>
      <w:r w:rsidRPr="009A2F5D">
        <w:rPr>
          <w:vertAlign w:val="subscript"/>
          <w:lang w:val="en-US"/>
        </w:rPr>
        <w:t>2</w:t>
      </w:r>
      <w:r w:rsidRPr="00CA7EF2">
        <w:rPr>
          <w:lang w:val="en-US"/>
        </w:rPr>
        <w:t>O</w:t>
      </w:r>
      <w:r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 xml:space="preserve"> and </w:t>
      </w:r>
      <w:r w:rsidRPr="00CA7EF2">
        <w:rPr>
          <w:lang w:val="en-US"/>
        </w:rPr>
        <w:t>(</w:t>
      </w:r>
      <w:r>
        <w:rPr>
          <w:lang w:val="en-US"/>
        </w:rPr>
        <w:t>V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Ga</w:t>
      </w:r>
      <w:r w:rsidRPr="009A2F5D">
        <w:rPr>
          <w:vertAlign w:val="subscript"/>
          <w:lang w:val="en-US"/>
        </w:rPr>
        <w:t>1-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)</w:t>
      </w:r>
      <w:r w:rsidRPr="009A2F5D">
        <w:rPr>
          <w:vertAlign w:val="subscript"/>
          <w:lang w:val="en-US"/>
        </w:rPr>
        <w:t>2</w:t>
      </w:r>
      <w:r w:rsidRPr="00CA7EF2">
        <w:rPr>
          <w:lang w:val="en-US"/>
        </w:rPr>
        <w:t>O</w:t>
      </w:r>
      <w:r w:rsidRPr="009A2F5D">
        <w:rPr>
          <w:vertAlign w:val="subscript"/>
          <w:lang w:val="en-US"/>
        </w:rPr>
        <w:t>3</w:t>
      </w:r>
      <w:r w:rsidR="002F7D21">
        <w:rPr>
          <w:lang w:val="en-US"/>
        </w:rPr>
        <w:t xml:space="preserve">, </w:t>
      </w:r>
      <w:r w:rsidR="00CA7EF2" w:rsidRPr="00CA7EF2">
        <w:rPr>
          <w:lang w:val="en-US"/>
        </w:rPr>
        <w:t>phase-pure growth in the</w:t>
      </w:r>
      <w:r w:rsidR="00CA7EF2">
        <w:rPr>
          <w:lang w:val="en-US"/>
        </w:rPr>
        <w:t xml:space="preserve"> </w:t>
      </w:r>
      <w:r w:rsidR="00CA7EF2" w:rsidRPr="00CA7EF2">
        <w:rPr>
          <w:lang w:val="en-US"/>
        </w:rPr>
        <w:t xml:space="preserve">rhombohedral crystal structure </w:t>
      </w:r>
      <w:r w:rsidR="002F7D21">
        <w:rPr>
          <w:lang w:val="en-US"/>
        </w:rPr>
        <w:t>was</w:t>
      </w:r>
      <w:r w:rsidR="00CA7EF2" w:rsidRPr="00CA7EF2">
        <w:rPr>
          <w:lang w:val="en-US"/>
        </w:rPr>
        <w:t xml:space="preserve"> demonstrated over the entire composition range</w:t>
      </w:r>
      <w:r w:rsidR="002F7D21">
        <w:rPr>
          <w:lang w:val="en-US"/>
        </w:rPr>
        <w:t>.</w:t>
      </w:r>
      <w:r w:rsidR="00CA7EF2" w:rsidRPr="00CA7EF2">
        <w:rPr>
          <w:lang w:val="en-US"/>
        </w:rPr>
        <w:t xml:space="preserve"> </w:t>
      </w:r>
      <w:r w:rsidR="002F7D21">
        <w:rPr>
          <w:lang w:val="en-US"/>
        </w:rPr>
        <w:t>F</w:t>
      </w:r>
      <w:r w:rsidR="00CA7EF2" w:rsidRPr="00CA7EF2">
        <w:rPr>
          <w:lang w:val="en-US"/>
        </w:rPr>
        <w:t xml:space="preserve">or the </w:t>
      </w:r>
      <w:r w:rsidRPr="00CA7EF2">
        <w:rPr>
          <w:lang w:val="en-US"/>
        </w:rPr>
        <w:t>(Ti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Ga</w:t>
      </w:r>
      <w:r w:rsidRPr="009A2F5D">
        <w:rPr>
          <w:vertAlign w:val="subscript"/>
          <w:lang w:val="en-US"/>
        </w:rPr>
        <w:t>1-</w:t>
      </w:r>
      <w:r w:rsidRPr="009A2F5D">
        <w:rPr>
          <w:i/>
          <w:iCs/>
          <w:vertAlign w:val="subscript"/>
          <w:lang w:val="en-US"/>
        </w:rPr>
        <w:t>x</w:t>
      </w:r>
      <w:r w:rsidRPr="00CA7EF2">
        <w:rPr>
          <w:lang w:val="en-US"/>
        </w:rPr>
        <w:t>)</w:t>
      </w:r>
      <w:r w:rsidRPr="009A2F5D">
        <w:rPr>
          <w:vertAlign w:val="subscript"/>
          <w:lang w:val="en-US"/>
        </w:rPr>
        <w:t>2</w:t>
      </w:r>
      <w:r w:rsidRPr="00CA7EF2">
        <w:rPr>
          <w:lang w:val="en-US"/>
        </w:rPr>
        <w:t>O</w:t>
      </w:r>
      <w:r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 xml:space="preserve"> </w:t>
      </w:r>
      <w:r w:rsidR="002F7D21">
        <w:rPr>
          <w:lang w:val="en-US"/>
        </w:rPr>
        <w:t>CCS-ML,</w:t>
      </w:r>
      <w:r w:rsidR="00CA7EF2" w:rsidRPr="00CA7EF2">
        <w:rPr>
          <w:lang w:val="en-US"/>
        </w:rPr>
        <w:t xml:space="preserve"> the α-</w:t>
      </w:r>
      <w:r w:rsidR="002F7D21">
        <w:rPr>
          <w:lang w:val="en-US"/>
        </w:rPr>
        <w:t xml:space="preserve">phase </w:t>
      </w:r>
      <w:r w:rsidR="00D86F3F">
        <w:rPr>
          <w:lang w:val="en-US"/>
        </w:rPr>
        <w:t xml:space="preserve">was stabilized up to </w:t>
      </w:r>
      <w:r w:rsidR="00D86F3F" w:rsidRPr="009A2F5D">
        <w:rPr>
          <w:i/>
          <w:iCs/>
          <w:lang w:val="en-US"/>
        </w:rPr>
        <w:t>x</w:t>
      </w:r>
      <w:r w:rsidR="00D86F3F">
        <w:rPr>
          <w:lang w:val="en-US"/>
        </w:rPr>
        <w:t>=25%</w:t>
      </w:r>
      <w:r w:rsidR="00CA7EF2" w:rsidRPr="00CA7EF2">
        <w:rPr>
          <w:lang w:val="en-US"/>
        </w:rPr>
        <w:t xml:space="preserve">. A </w:t>
      </w:r>
      <w:r w:rsidR="002F7D21">
        <w:rPr>
          <w:lang w:val="en-US"/>
        </w:rPr>
        <w:t>substantial</w:t>
      </w:r>
      <w:r w:rsidR="00CA7EF2" w:rsidRPr="00CA7EF2">
        <w:rPr>
          <w:lang w:val="en-US"/>
        </w:rPr>
        <w:t xml:space="preserve"> red shift of the absorption edge with increasing </w:t>
      </w:r>
      <w:r w:rsidR="00CA7EF2" w:rsidRPr="002F7D21">
        <w:rPr>
          <w:i/>
          <w:iCs/>
          <w:lang w:val="en-US"/>
        </w:rPr>
        <w:t>x</w:t>
      </w:r>
      <w:r w:rsidR="00CA7EF2" w:rsidRPr="00CA7EF2">
        <w:rPr>
          <w:lang w:val="en-US"/>
        </w:rPr>
        <w:t xml:space="preserve"> was found</w:t>
      </w:r>
      <w:r w:rsidR="00CA7EF2">
        <w:rPr>
          <w:lang w:val="en-US"/>
        </w:rPr>
        <w:t xml:space="preserve"> </w:t>
      </w:r>
      <w:r w:rsidR="00CA7EF2" w:rsidRPr="00CA7EF2">
        <w:rPr>
          <w:lang w:val="en-US"/>
        </w:rPr>
        <w:t xml:space="preserve">for all investigated </w:t>
      </w:r>
      <w:r w:rsidR="00FB39C5">
        <w:rPr>
          <w:lang w:val="en-US"/>
        </w:rPr>
        <w:t>MLs</w:t>
      </w:r>
      <w:r w:rsidR="00CA7EF2" w:rsidRPr="00CA7EF2">
        <w:rPr>
          <w:lang w:val="en-US"/>
        </w:rPr>
        <w:t>. These findings demonstrate the feasibility of the α-(</w:t>
      </w:r>
      <w:proofErr w:type="spellStart"/>
      <w:r w:rsidR="00CA7EF2" w:rsidRPr="00CA7EF2">
        <w:rPr>
          <w:lang w:val="en-US"/>
        </w:rPr>
        <w:t>Me,Ga</w:t>
      </w:r>
      <w:proofErr w:type="spellEnd"/>
      <w:r w:rsidR="00CA7EF2" w:rsidRPr="00CA7EF2">
        <w:rPr>
          <w:lang w:val="en-US"/>
        </w:rPr>
        <w:t>)</w:t>
      </w:r>
      <w:r w:rsidR="00CA7EF2" w:rsidRPr="009A2F5D">
        <w:rPr>
          <w:vertAlign w:val="subscript"/>
          <w:lang w:val="en-US"/>
        </w:rPr>
        <w:t>2</w:t>
      </w:r>
      <w:r w:rsidR="00CA7EF2" w:rsidRPr="00CA7EF2">
        <w:rPr>
          <w:lang w:val="en-US"/>
        </w:rPr>
        <w:t>O</w:t>
      </w:r>
      <w:r w:rsidR="00CA7EF2" w:rsidRPr="009A2F5D">
        <w:rPr>
          <w:vertAlign w:val="subscript"/>
          <w:lang w:val="en-US"/>
        </w:rPr>
        <w:t>3</w:t>
      </w:r>
      <w:r w:rsidR="00CA7EF2" w:rsidRPr="00CA7EF2">
        <w:rPr>
          <w:lang w:val="en-US"/>
        </w:rPr>
        <w:t xml:space="preserve"> material systems for bandgap engineering over an exceptionally large energy range</w:t>
      </w:r>
      <w:r w:rsidR="00CA7EF2">
        <w:rPr>
          <w:lang w:val="en-US"/>
        </w:rPr>
        <w:t xml:space="preserve"> </w:t>
      </w:r>
      <w:r w:rsidR="00CA7EF2" w:rsidRPr="00CA7EF2">
        <w:rPr>
          <w:lang w:val="en-US"/>
        </w:rPr>
        <w:t>without phase-separation</w:t>
      </w:r>
      <w:r w:rsidR="00CA7EF2">
        <w:rPr>
          <w:lang w:val="en-US"/>
        </w:rPr>
        <w:t xml:space="preserve"> </w:t>
      </w:r>
    </w:p>
    <w:p w14:paraId="72F7DF57" w14:textId="77777777" w:rsidR="00FB39C5" w:rsidRPr="00FB39C5" w:rsidRDefault="00FB39C5" w:rsidP="00FB39C5">
      <w:pPr>
        <w:pStyle w:val="Default"/>
        <w:jc w:val="both"/>
        <w:rPr>
          <w:lang w:val="en-US"/>
        </w:rPr>
      </w:pPr>
      <w:r w:rsidRPr="00FB39C5">
        <w:rPr>
          <w:lang w:val="en-US"/>
        </w:rPr>
        <w:t>A FAIR data management solution for thin film deposition and characterization data is finally presented, with a focus on the digitization of PLD process data and metadata.</w:t>
      </w:r>
    </w:p>
    <w:p w14:paraId="78E6DED3" w14:textId="77777777" w:rsidR="001B4AF7" w:rsidRDefault="001B4AF7" w:rsidP="00172F51">
      <w:pPr>
        <w:pStyle w:val="Default"/>
        <w:jc w:val="both"/>
        <w:rPr>
          <w:lang w:val="en-US"/>
        </w:rPr>
      </w:pPr>
    </w:p>
    <w:p w14:paraId="2D4FEA0C" w14:textId="1B03900E" w:rsidR="00E41074" w:rsidRPr="00E41074" w:rsidRDefault="00E41074" w:rsidP="00D76082">
      <w:pPr>
        <w:pStyle w:val="Default"/>
        <w:jc w:val="both"/>
        <w:rPr>
          <w:lang w:val="en-US"/>
        </w:rPr>
      </w:pPr>
      <w:r w:rsidRPr="00E41074">
        <w:rPr>
          <w:lang w:val="en-US"/>
        </w:rPr>
        <w:t xml:space="preserve">[1] Holger von Wenckstern </w:t>
      </w:r>
      <w:r w:rsidRPr="00E41074">
        <w:rPr>
          <w:i/>
          <w:lang w:val="en-US"/>
        </w:rPr>
        <w:t>et al</w:t>
      </w:r>
      <w:r w:rsidRPr="00E41074">
        <w:rPr>
          <w:lang w:val="en-US"/>
        </w:rPr>
        <w:t xml:space="preserve">., </w:t>
      </w:r>
      <w:r w:rsidRPr="00E41074">
        <w:rPr>
          <w:i/>
          <w:lang w:val="en-US"/>
        </w:rPr>
        <w:t>A review of the segmented-target approach to combinatorial material synthesis by pulsed-laser deposition</w:t>
      </w:r>
      <w:r w:rsidRPr="00E41074">
        <w:rPr>
          <w:lang w:val="en-US"/>
        </w:rPr>
        <w:t xml:space="preserve">, phys. stat. sol. (b) </w:t>
      </w:r>
      <w:r w:rsidRPr="00E41074">
        <w:rPr>
          <w:b/>
          <w:bCs/>
          <w:lang w:val="en-US"/>
        </w:rPr>
        <w:t>257</w:t>
      </w:r>
      <w:r w:rsidRPr="00E41074">
        <w:rPr>
          <w:lang w:val="en-US"/>
        </w:rPr>
        <w:t>, 1900626 (2019).</w:t>
      </w:r>
      <w:r w:rsidR="00D76082">
        <w:rPr>
          <w:lang w:val="en-US"/>
        </w:rPr>
        <w:br/>
      </w:r>
      <w:r w:rsidR="00D76082" w:rsidRPr="00D76082">
        <w:rPr>
          <w:lang w:val="en-US"/>
        </w:rPr>
        <w:t>H. von Wenckstern</w:t>
      </w:r>
      <w:r w:rsidR="007B6353">
        <w:rPr>
          <w:lang w:val="en-US"/>
        </w:rPr>
        <w:t xml:space="preserve"> </w:t>
      </w:r>
      <w:r w:rsidR="007B6353" w:rsidRPr="00E41074">
        <w:rPr>
          <w:i/>
          <w:lang w:val="en-US"/>
        </w:rPr>
        <w:t>et al</w:t>
      </w:r>
      <w:r w:rsidR="007B6353" w:rsidRPr="00E41074">
        <w:rPr>
          <w:lang w:val="en-US"/>
        </w:rPr>
        <w:t>.,</w:t>
      </w:r>
      <w:r w:rsidR="00D76082">
        <w:rPr>
          <w:lang w:val="en-US"/>
        </w:rPr>
        <w:t xml:space="preserve"> </w:t>
      </w:r>
      <w:r w:rsidR="00D76082" w:rsidRPr="00D76082">
        <w:rPr>
          <w:lang w:val="en-US"/>
        </w:rPr>
        <w:t>2.08 - Fundamentals of pulsed laser deposition, advanced developments and implementation of combinatorial material synthesis, and its application to the growth of Ga</w:t>
      </w:r>
      <w:r w:rsidR="00D76082" w:rsidRPr="007B6353">
        <w:rPr>
          <w:vertAlign w:val="subscript"/>
          <w:lang w:val="en-US"/>
        </w:rPr>
        <w:t>2</w:t>
      </w:r>
      <w:r w:rsidR="00D76082" w:rsidRPr="00D76082">
        <w:rPr>
          <w:lang w:val="en-US"/>
        </w:rPr>
        <w:t>O</w:t>
      </w:r>
      <w:r w:rsidR="00D76082" w:rsidRPr="007B6353">
        <w:rPr>
          <w:vertAlign w:val="subscript"/>
          <w:lang w:val="en-US"/>
        </w:rPr>
        <w:t>3</w:t>
      </w:r>
      <w:r w:rsidR="00D76082" w:rsidRPr="00D76082">
        <w:rPr>
          <w:lang w:val="en-US"/>
        </w:rPr>
        <w:t xml:space="preserve"> and related alloys,</w:t>
      </w:r>
      <w:r w:rsidR="00D76082">
        <w:rPr>
          <w:lang w:val="en-US"/>
        </w:rPr>
        <w:t xml:space="preserve"> </w:t>
      </w:r>
      <w:r w:rsidR="00D76082" w:rsidRPr="00D76082">
        <w:rPr>
          <w:lang w:val="en-US"/>
        </w:rPr>
        <w:t xml:space="preserve">Editor(s): Roberto </w:t>
      </w:r>
      <w:proofErr w:type="spellStart"/>
      <w:r w:rsidR="00D76082" w:rsidRPr="00D76082">
        <w:rPr>
          <w:lang w:val="en-US"/>
        </w:rPr>
        <w:t>Fornari</w:t>
      </w:r>
      <w:proofErr w:type="spellEnd"/>
      <w:r w:rsidR="00D76082" w:rsidRPr="00D76082">
        <w:rPr>
          <w:lang w:val="en-US"/>
        </w:rPr>
        <w:t>,</w:t>
      </w:r>
      <w:r w:rsidR="007B6353">
        <w:rPr>
          <w:lang w:val="en-US"/>
        </w:rPr>
        <w:t xml:space="preserve"> </w:t>
      </w:r>
      <w:r w:rsidR="00D76082" w:rsidRPr="00D76082">
        <w:rPr>
          <w:lang w:val="en-US"/>
        </w:rPr>
        <w:t>Comprehensive Semiconductor Science and Technology (Second Edition),</w:t>
      </w:r>
      <w:r w:rsidR="007B6353">
        <w:rPr>
          <w:lang w:val="en-US"/>
        </w:rPr>
        <w:t xml:space="preserve"> </w:t>
      </w:r>
      <w:r w:rsidR="00D76082" w:rsidRPr="00D76082">
        <w:rPr>
          <w:lang w:val="en-US"/>
        </w:rPr>
        <w:t>Elsevier,</w:t>
      </w:r>
      <w:r w:rsidR="007B6353">
        <w:rPr>
          <w:lang w:val="en-US"/>
        </w:rPr>
        <w:t xml:space="preserve"> </w:t>
      </w:r>
      <w:r w:rsidR="00D76082" w:rsidRPr="00D76082">
        <w:rPr>
          <w:lang w:val="en-US"/>
        </w:rPr>
        <w:t>2025,</w:t>
      </w:r>
      <w:r w:rsidR="007B6353">
        <w:rPr>
          <w:lang w:val="en-US"/>
        </w:rPr>
        <w:t xml:space="preserve"> </w:t>
      </w:r>
      <w:r w:rsidR="00D76082" w:rsidRPr="00D76082">
        <w:rPr>
          <w:lang w:val="en-US"/>
        </w:rPr>
        <w:t>Pages 225-266</w:t>
      </w:r>
    </w:p>
    <w:p w14:paraId="6DD2AB1E" w14:textId="77777777" w:rsidR="00E41074" w:rsidRPr="00E41074" w:rsidRDefault="00E41074" w:rsidP="00E41074">
      <w:pPr>
        <w:pStyle w:val="Default"/>
        <w:jc w:val="both"/>
        <w:rPr>
          <w:lang w:val="en-US"/>
        </w:rPr>
      </w:pPr>
      <w:r w:rsidRPr="00E41074">
        <w:rPr>
          <w:lang w:val="en-US"/>
        </w:rPr>
        <w:t xml:space="preserve">[2] A. Hassa, Holger von Wenckstern et al., </w:t>
      </w:r>
      <w:r w:rsidRPr="00E41074">
        <w:rPr>
          <w:i/>
          <w:lang w:val="en-US"/>
        </w:rPr>
        <w:t xml:space="preserve">Progression of group-III </w:t>
      </w:r>
      <w:proofErr w:type="spellStart"/>
      <w:r w:rsidRPr="00E41074">
        <w:rPr>
          <w:i/>
          <w:lang w:val="en-US"/>
        </w:rPr>
        <w:t>sesquioxides</w:t>
      </w:r>
      <w:proofErr w:type="spellEnd"/>
      <w:r w:rsidRPr="00E41074">
        <w:rPr>
          <w:i/>
          <w:lang w:val="en-US"/>
        </w:rPr>
        <w:t>: epitaxy, solubility and desorption</w:t>
      </w:r>
      <w:r w:rsidRPr="00E41074">
        <w:rPr>
          <w:lang w:val="en-US"/>
        </w:rPr>
        <w:t xml:space="preserve">, J. Phys. D: Appl. Phys. </w:t>
      </w:r>
      <w:r w:rsidRPr="00E41074">
        <w:rPr>
          <w:b/>
          <w:lang w:val="en-US"/>
        </w:rPr>
        <w:t>54</w:t>
      </w:r>
      <w:r w:rsidRPr="00E41074">
        <w:rPr>
          <w:lang w:val="en-US"/>
        </w:rPr>
        <w:t>, 223001 (2021).</w:t>
      </w:r>
    </w:p>
    <w:p w14:paraId="3C6E8CDC" w14:textId="3F959E7A" w:rsidR="001B4AF7" w:rsidRPr="00D86F3F" w:rsidRDefault="00E41074" w:rsidP="00172F51">
      <w:pPr>
        <w:pStyle w:val="Default"/>
        <w:jc w:val="both"/>
        <w:rPr>
          <w:lang w:val="de-DE"/>
        </w:rPr>
      </w:pPr>
      <w:r w:rsidRPr="00E41074">
        <w:rPr>
          <w:lang w:val="en-US"/>
        </w:rPr>
        <w:t xml:space="preserve">[3] Holger von Wenckstern, </w:t>
      </w:r>
      <w:r w:rsidRPr="00E41074">
        <w:rPr>
          <w:i/>
          <w:lang w:val="en-US"/>
        </w:rPr>
        <w:t xml:space="preserve">Group-III </w:t>
      </w:r>
      <w:proofErr w:type="spellStart"/>
      <w:r w:rsidRPr="00E41074">
        <w:rPr>
          <w:i/>
          <w:lang w:val="en-US"/>
        </w:rPr>
        <w:t>Sesquioxides</w:t>
      </w:r>
      <w:proofErr w:type="spellEnd"/>
      <w:r w:rsidRPr="00E41074">
        <w:rPr>
          <w:i/>
          <w:lang w:val="en-US"/>
        </w:rPr>
        <w:t>: Growth, Physical Properties and Devices</w:t>
      </w:r>
      <w:r w:rsidRPr="00E41074">
        <w:rPr>
          <w:lang w:val="en-US"/>
        </w:rPr>
        <w:t>,</w:t>
      </w:r>
      <w:r w:rsidR="00D86F3F">
        <w:rPr>
          <w:lang w:val="en-US"/>
        </w:rPr>
        <w:t xml:space="preserve"> </w:t>
      </w:r>
      <w:r w:rsidRPr="00E41074">
        <w:rPr>
          <w:lang w:val="en-US"/>
        </w:rPr>
        <w:t xml:space="preserve">Adv. </w:t>
      </w:r>
      <w:proofErr w:type="spellStart"/>
      <w:r w:rsidRPr="00E41074">
        <w:rPr>
          <w:lang w:val="de-DE"/>
        </w:rPr>
        <w:t>Electron</w:t>
      </w:r>
      <w:proofErr w:type="spellEnd"/>
      <w:r w:rsidRPr="00E41074">
        <w:rPr>
          <w:lang w:val="de-DE"/>
        </w:rPr>
        <w:t xml:space="preserve">. Mater. </w:t>
      </w:r>
      <w:r w:rsidRPr="00E41074">
        <w:rPr>
          <w:b/>
          <w:lang w:val="de-DE"/>
        </w:rPr>
        <w:t>3</w:t>
      </w:r>
      <w:r w:rsidRPr="00E41074">
        <w:rPr>
          <w:lang w:val="de-DE"/>
        </w:rPr>
        <w:t>, 1600350 (2017)</w:t>
      </w:r>
    </w:p>
    <w:sectPr w:rsidR="001B4AF7" w:rsidRPr="00D86F3F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080616"/>
    <w:rsid w:val="000C71EF"/>
    <w:rsid w:val="0014223E"/>
    <w:rsid w:val="00172F51"/>
    <w:rsid w:val="001B4AF7"/>
    <w:rsid w:val="002613C6"/>
    <w:rsid w:val="002A0132"/>
    <w:rsid w:val="002B1B1E"/>
    <w:rsid w:val="002F7D21"/>
    <w:rsid w:val="00311501"/>
    <w:rsid w:val="003855ED"/>
    <w:rsid w:val="004573FD"/>
    <w:rsid w:val="0047107B"/>
    <w:rsid w:val="00477390"/>
    <w:rsid w:val="004B6517"/>
    <w:rsid w:val="004E0655"/>
    <w:rsid w:val="004E1ED5"/>
    <w:rsid w:val="00574ABC"/>
    <w:rsid w:val="005A1240"/>
    <w:rsid w:val="00720782"/>
    <w:rsid w:val="00792CA8"/>
    <w:rsid w:val="007B6353"/>
    <w:rsid w:val="007E0A33"/>
    <w:rsid w:val="007E5F5C"/>
    <w:rsid w:val="0084230B"/>
    <w:rsid w:val="008E26FD"/>
    <w:rsid w:val="00910550"/>
    <w:rsid w:val="00963BC5"/>
    <w:rsid w:val="009A2F5D"/>
    <w:rsid w:val="009A3324"/>
    <w:rsid w:val="009B0BE9"/>
    <w:rsid w:val="00B14154"/>
    <w:rsid w:val="00BC3385"/>
    <w:rsid w:val="00C67C56"/>
    <w:rsid w:val="00CA7EF2"/>
    <w:rsid w:val="00D76082"/>
    <w:rsid w:val="00D86F3F"/>
    <w:rsid w:val="00DC42A2"/>
    <w:rsid w:val="00E16B73"/>
    <w:rsid w:val="00E41074"/>
    <w:rsid w:val="00E412FD"/>
    <w:rsid w:val="00E50186"/>
    <w:rsid w:val="00F724D4"/>
    <w:rsid w:val="00FB39C5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Sprechblasentext">
    <w:name w:val="Balloon Text"/>
    <w:basedOn w:val="Standard"/>
    <w:link w:val="SprechblasentextZchn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Textkrper2">
    <w:name w:val="Body Text 2"/>
    <w:basedOn w:val="Standard"/>
    <w:link w:val="Textkrper2Zchn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Textkrper2Zchn">
    <w:name w:val="Textkörper 2 Zchn"/>
    <w:basedOn w:val="Absatz-Standardschriftart"/>
    <w:link w:val="Textkrper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von Wenckstern, Holger</cp:lastModifiedBy>
  <cp:revision>17</cp:revision>
  <dcterms:created xsi:type="dcterms:W3CDTF">2025-08-04T07:41:00Z</dcterms:created>
  <dcterms:modified xsi:type="dcterms:W3CDTF">2025-08-05T08:24:00Z</dcterms:modified>
</cp:coreProperties>
</file>