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4EECD681" w:rsidR="00172F51" w:rsidRPr="00E412FD" w:rsidRDefault="00EB09D4" w:rsidP="00172F51">
      <w:pPr>
        <w:pStyle w:val="Default"/>
        <w:jc w:val="center"/>
        <w:rPr>
          <w:sz w:val="28"/>
          <w:szCs w:val="28"/>
          <w:lang w:val="en-US"/>
        </w:rPr>
      </w:pPr>
      <w:r>
        <w:rPr>
          <w:b/>
          <w:bCs/>
          <w:sz w:val="28"/>
          <w:szCs w:val="28"/>
          <w:lang w:val="en-US"/>
        </w:rPr>
        <w:t>Advances in electron microscopy for atomic-scale insights to engineer functional oxide thin films</w:t>
      </w:r>
    </w:p>
    <w:p w14:paraId="2FF06968" w14:textId="77777777" w:rsidR="00172F51" w:rsidRPr="00B00A4B" w:rsidRDefault="00172F51" w:rsidP="00172F51">
      <w:pPr>
        <w:pStyle w:val="Default"/>
        <w:jc w:val="center"/>
        <w:rPr>
          <w:b/>
          <w:bCs/>
          <w:lang w:val="en-US"/>
        </w:rPr>
      </w:pPr>
    </w:p>
    <w:p w14:paraId="35088509" w14:textId="77777777" w:rsidR="00172F51" w:rsidRPr="00B00A4B" w:rsidRDefault="00172F51" w:rsidP="00172F51">
      <w:pPr>
        <w:pStyle w:val="Default"/>
        <w:jc w:val="center"/>
        <w:rPr>
          <w:lang w:val="en-US"/>
        </w:rPr>
      </w:pPr>
    </w:p>
    <w:p w14:paraId="22E48456" w14:textId="56941667" w:rsidR="0007701F" w:rsidRPr="00184EE1" w:rsidRDefault="00DE23D9" w:rsidP="00172F51">
      <w:pPr>
        <w:pStyle w:val="Default"/>
        <w:jc w:val="center"/>
        <w:rPr>
          <w:sz w:val="22"/>
          <w:szCs w:val="22"/>
          <w:lang w:val="en-US"/>
        </w:rPr>
      </w:pPr>
      <w:r>
        <w:rPr>
          <w:sz w:val="22"/>
          <w:szCs w:val="22"/>
          <w:lang w:val="en-US"/>
        </w:rPr>
        <w:t>Noah Schnit</w:t>
      </w:r>
      <w:r w:rsidR="00DA66F7">
        <w:rPr>
          <w:sz w:val="22"/>
          <w:szCs w:val="22"/>
          <w:lang w:val="en-US"/>
        </w:rPr>
        <w:t>z</w:t>
      </w:r>
      <w:r>
        <w:rPr>
          <w:sz w:val="22"/>
          <w:szCs w:val="22"/>
          <w:lang w:val="en-US"/>
        </w:rPr>
        <w:t>er</w:t>
      </w:r>
      <w:r w:rsidRPr="00184EE1">
        <w:rPr>
          <w:sz w:val="22"/>
          <w:szCs w:val="22"/>
          <w:vertAlign w:val="superscript"/>
          <w:lang w:val="en-US"/>
        </w:rPr>
        <w:t>1</w:t>
      </w:r>
      <w:r>
        <w:rPr>
          <w:sz w:val="22"/>
          <w:szCs w:val="22"/>
          <w:lang w:val="en-US"/>
        </w:rPr>
        <w:t xml:space="preserve">, </w:t>
      </w:r>
      <w:proofErr w:type="spellStart"/>
      <w:r>
        <w:rPr>
          <w:sz w:val="22"/>
          <w:szCs w:val="22"/>
          <w:lang w:val="en-US"/>
        </w:rPr>
        <w:t>Lopa</w:t>
      </w:r>
      <w:proofErr w:type="spellEnd"/>
      <w:r>
        <w:rPr>
          <w:sz w:val="22"/>
          <w:szCs w:val="22"/>
          <w:lang w:val="en-US"/>
        </w:rPr>
        <w:t xml:space="preserve"> Bhatt</w:t>
      </w:r>
      <w:r w:rsidRPr="00184EE1">
        <w:rPr>
          <w:sz w:val="22"/>
          <w:szCs w:val="22"/>
          <w:vertAlign w:val="superscript"/>
          <w:lang w:val="en-US"/>
        </w:rPr>
        <w:t>1</w:t>
      </w:r>
      <w:r>
        <w:rPr>
          <w:sz w:val="22"/>
          <w:szCs w:val="22"/>
          <w:lang w:val="en-US"/>
        </w:rPr>
        <w:t>, Edgar Abarca Morales</w:t>
      </w:r>
      <w:r>
        <w:rPr>
          <w:sz w:val="22"/>
          <w:szCs w:val="22"/>
          <w:vertAlign w:val="superscript"/>
          <w:lang w:val="en-US"/>
        </w:rPr>
        <w:t>2</w:t>
      </w:r>
      <w:r>
        <w:rPr>
          <w:sz w:val="22"/>
          <w:szCs w:val="22"/>
          <w:lang w:val="en-US"/>
        </w:rPr>
        <w:t>, David A. Muller</w:t>
      </w:r>
      <w:r w:rsidRPr="00184EE1">
        <w:rPr>
          <w:sz w:val="22"/>
          <w:szCs w:val="22"/>
          <w:vertAlign w:val="superscript"/>
          <w:lang w:val="en-US"/>
        </w:rPr>
        <w:t>1</w:t>
      </w:r>
      <w:r>
        <w:rPr>
          <w:sz w:val="22"/>
          <w:szCs w:val="22"/>
          <w:lang w:val="en-US"/>
        </w:rPr>
        <w:t xml:space="preserve">, </w:t>
      </w:r>
      <w:r w:rsidR="00EB09D4" w:rsidRPr="00184EE1">
        <w:rPr>
          <w:sz w:val="22"/>
          <w:szCs w:val="22"/>
          <w:lang w:val="en-US"/>
        </w:rPr>
        <w:t>Berit H. Goodge</w:t>
      </w:r>
      <w:r w:rsidR="00184EE1" w:rsidRPr="00184EE1">
        <w:rPr>
          <w:sz w:val="22"/>
          <w:szCs w:val="22"/>
          <w:vertAlign w:val="superscript"/>
          <w:lang w:val="en-US"/>
        </w:rPr>
        <w:t>1</w:t>
      </w:r>
      <w:r>
        <w:rPr>
          <w:sz w:val="22"/>
          <w:szCs w:val="22"/>
          <w:vertAlign w:val="superscript"/>
          <w:lang w:val="en-US"/>
        </w:rPr>
        <w:t>,2</w:t>
      </w:r>
      <w:r w:rsidR="00172F51" w:rsidRPr="00184EE1">
        <w:rPr>
          <w:sz w:val="22"/>
          <w:szCs w:val="22"/>
          <w:lang w:val="en-US"/>
        </w:rPr>
        <w:t xml:space="preserve"> </w:t>
      </w:r>
    </w:p>
    <w:p w14:paraId="334CAAF2" w14:textId="451DCDFD" w:rsidR="00DE23D9" w:rsidRPr="00DE23D9" w:rsidRDefault="00DE23D9" w:rsidP="00DE23D9">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Pr>
          <w:i/>
          <w:iCs/>
          <w:sz w:val="22"/>
          <w:szCs w:val="22"/>
          <w:lang w:val="en-US"/>
        </w:rPr>
        <w:t>Cornell University, Ithaca</w:t>
      </w:r>
      <w:r w:rsidR="00CE10EB">
        <w:rPr>
          <w:i/>
          <w:iCs/>
          <w:sz w:val="22"/>
          <w:szCs w:val="22"/>
          <w:lang w:val="en-US"/>
        </w:rPr>
        <w:t>, New York</w:t>
      </w:r>
      <w:r>
        <w:rPr>
          <w:i/>
          <w:iCs/>
          <w:sz w:val="22"/>
          <w:szCs w:val="22"/>
          <w:lang w:val="en-US"/>
        </w:rPr>
        <w:t>, U</w:t>
      </w:r>
      <w:r w:rsidR="00CE10EB">
        <w:rPr>
          <w:i/>
          <w:iCs/>
          <w:sz w:val="22"/>
          <w:szCs w:val="22"/>
          <w:lang w:val="en-US"/>
        </w:rPr>
        <w:t>SA</w:t>
      </w:r>
    </w:p>
    <w:p w14:paraId="33B59775" w14:textId="30AE4598" w:rsidR="00172F51" w:rsidRPr="00B00A4B" w:rsidRDefault="00DE23D9" w:rsidP="00172F51">
      <w:pPr>
        <w:pStyle w:val="Default"/>
        <w:jc w:val="center"/>
        <w:rPr>
          <w:sz w:val="22"/>
          <w:szCs w:val="22"/>
          <w:lang w:val="en-US"/>
        </w:rPr>
      </w:pPr>
      <w:r>
        <w:rPr>
          <w:i/>
          <w:iCs/>
          <w:sz w:val="22"/>
          <w:szCs w:val="22"/>
          <w:vertAlign w:val="superscript"/>
          <w:lang w:val="en-US"/>
        </w:rPr>
        <w:t>2</w:t>
      </w:r>
      <w:r w:rsidR="00172F51" w:rsidRPr="00B00A4B">
        <w:rPr>
          <w:i/>
          <w:iCs/>
          <w:sz w:val="22"/>
          <w:szCs w:val="22"/>
          <w:lang w:val="en-US"/>
        </w:rPr>
        <w:t xml:space="preserve"> </w:t>
      </w:r>
      <w:r w:rsidR="00184EE1">
        <w:rPr>
          <w:i/>
          <w:iCs/>
          <w:sz w:val="22"/>
          <w:szCs w:val="22"/>
          <w:lang w:val="en-US"/>
        </w:rPr>
        <w:t>Max Planck Institute for Chemical Physics of Solids</w:t>
      </w:r>
      <w:r w:rsidR="00172F51" w:rsidRPr="00B00A4B">
        <w:rPr>
          <w:i/>
          <w:iCs/>
          <w:sz w:val="22"/>
          <w:szCs w:val="22"/>
          <w:lang w:val="en-US"/>
        </w:rPr>
        <w:t xml:space="preserve">, </w:t>
      </w:r>
      <w:r w:rsidR="00184EE1">
        <w:rPr>
          <w:i/>
          <w:iCs/>
          <w:sz w:val="22"/>
          <w:szCs w:val="22"/>
          <w:lang w:val="en-US"/>
        </w:rPr>
        <w:t>Dresden</w:t>
      </w:r>
      <w:r w:rsidR="00172F51" w:rsidRPr="00B00A4B">
        <w:rPr>
          <w:i/>
          <w:iCs/>
          <w:sz w:val="22"/>
          <w:szCs w:val="22"/>
          <w:lang w:val="en-US"/>
        </w:rPr>
        <w:t xml:space="preserve">, </w:t>
      </w:r>
      <w:r w:rsidR="00184EE1">
        <w:rPr>
          <w:i/>
          <w:iCs/>
          <w:sz w:val="22"/>
          <w:szCs w:val="22"/>
          <w:lang w:val="en-US"/>
        </w:rPr>
        <w:t>Germany</w:t>
      </w:r>
    </w:p>
    <w:p w14:paraId="536DF3AA" w14:textId="77777777" w:rsidR="00172F51" w:rsidRDefault="00172F51" w:rsidP="00172F51">
      <w:pPr>
        <w:pStyle w:val="Default"/>
        <w:jc w:val="center"/>
        <w:rPr>
          <w:i/>
          <w:iCs/>
          <w:sz w:val="22"/>
          <w:szCs w:val="22"/>
          <w:lang w:val="en-US"/>
        </w:rPr>
      </w:pPr>
    </w:p>
    <w:p w14:paraId="26A2AE79" w14:textId="77777777" w:rsidR="00172F51" w:rsidRDefault="00172F51" w:rsidP="00172F51">
      <w:pPr>
        <w:pStyle w:val="Default"/>
        <w:jc w:val="both"/>
        <w:rPr>
          <w:lang w:val="en-US"/>
        </w:rPr>
      </w:pPr>
    </w:p>
    <w:p w14:paraId="1C1D8E83" w14:textId="1361A01D" w:rsidR="00932F81" w:rsidRDefault="008D668D" w:rsidP="00172F51">
      <w:pPr>
        <w:pStyle w:val="Default"/>
        <w:jc w:val="both"/>
        <w:rPr>
          <w:lang w:val="en-US"/>
        </w:rPr>
      </w:pPr>
      <w:r>
        <w:rPr>
          <w:lang w:val="en-US"/>
        </w:rPr>
        <w:t>Many functional oxide materials can be sensitively tuned by careful control of the atomic lattice structure via epitaxial strain</w:t>
      </w:r>
      <w:r w:rsidR="00932F81">
        <w:rPr>
          <w:lang w:val="en-US"/>
        </w:rPr>
        <w:t>: m</w:t>
      </w:r>
      <w:r>
        <w:rPr>
          <w:lang w:val="en-US"/>
        </w:rPr>
        <w:t xml:space="preserve">acroscopic properties exhibit exquisite dependence on local parameters such as bond lengths, angles, and distortions. </w:t>
      </w:r>
      <w:r w:rsidR="00932F81">
        <w:rPr>
          <w:lang w:val="en-US"/>
        </w:rPr>
        <w:t xml:space="preserve">With recent and ongoing advances to improve spatial resolution and access various </w:t>
      </w:r>
      <w:r w:rsidR="00932F81">
        <w:rPr>
          <w:i/>
          <w:iCs/>
          <w:lang w:val="en-US"/>
        </w:rPr>
        <w:t>in situ</w:t>
      </w:r>
      <w:r w:rsidR="00932F81">
        <w:rPr>
          <w:lang w:val="en-US"/>
        </w:rPr>
        <w:t xml:space="preserve"> conditions such as variable temperatures or electrical bias, scanning transmission electron microscopy </w:t>
      </w:r>
      <w:r w:rsidR="004F10BC">
        <w:rPr>
          <w:lang w:val="en-US"/>
        </w:rPr>
        <w:t xml:space="preserve">(STEM) </w:t>
      </w:r>
      <w:r w:rsidR="00932F81">
        <w:rPr>
          <w:lang w:val="en-US"/>
        </w:rPr>
        <w:t>is a powerful tool to directly visualize and quantify relevant structure parameters with local sensitivity</w:t>
      </w:r>
      <w:r w:rsidR="00A94608">
        <w:rPr>
          <w:lang w:val="en-US"/>
        </w:rPr>
        <w:t xml:space="preserve"> to </w:t>
      </w:r>
      <w:r w:rsidR="00A94608">
        <w:rPr>
          <w:lang w:val="en-US"/>
        </w:rPr>
        <w:t>inform future engineering of functional oxide films.</w:t>
      </w:r>
      <w:r w:rsidR="00932F81">
        <w:rPr>
          <w:lang w:val="en-US"/>
        </w:rPr>
        <w:t xml:space="preserve"> </w:t>
      </w:r>
    </w:p>
    <w:p w14:paraId="38130863" w14:textId="77777777" w:rsidR="00932F81" w:rsidRDefault="00932F81" w:rsidP="00172F51">
      <w:pPr>
        <w:pStyle w:val="Default"/>
        <w:jc w:val="both"/>
        <w:rPr>
          <w:lang w:val="en-US"/>
        </w:rPr>
      </w:pPr>
    </w:p>
    <w:p w14:paraId="02C3DF33" w14:textId="6102A75A" w:rsidR="00932F81" w:rsidRDefault="00932F81" w:rsidP="00172F51">
      <w:pPr>
        <w:pStyle w:val="Default"/>
        <w:jc w:val="both"/>
        <w:rPr>
          <w:lang w:val="en-US"/>
        </w:rPr>
      </w:pPr>
      <w:r>
        <w:rPr>
          <w:lang w:val="en-US"/>
        </w:rPr>
        <w:t xml:space="preserve">The layered </w:t>
      </w:r>
      <w:proofErr w:type="spellStart"/>
      <w:r>
        <w:rPr>
          <w:lang w:val="en-US"/>
        </w:rPr>
        <w:t>Ruddlesden</w:t>
      </w:r>
      <w:proofErr w:type="spellEnd"/>
      <w:r>
        <w:rPr>
          <w:lang w:val="en-US"/>
        </w:rPr>
        <w:t>-Popper oxide Ca</w:t>
      </w:r>
      <w:r w:rsidRPr="0008040D">
        <w:rPr>
          <w:vertAlign w:val="subscript"/>
          <w:lang w:val="en-US"/>
        </w:rPr>
        <w:t>2</w:t>
      </w:r>
      <w:r>
        <w:rPr>
          <w:lang w:val="en-US"/>
        </w:rPr>
        <w:t>RuO</w:t>
      </w:r>
      <w:r w:rsidRPr="0008040D">
        <w:rPr>
          <w:vertAlign w:val="subscript"/>
          <w:lang w:val="en-US"/>
        </w:rPr>
        <w:t>4</w:t>
      </w:r>
      <w:r>
        <w:rPr>
          <w:lang w:val="en-US"/>
        </w:rPr>
        <w:t xml:space="preserve">, for example, exhibits a first-order </w:t>
      </w:r>
      <w:proofErr w:type="spellStart"/>
      <w:r>
        <w:rPr>
          <w:lang w:val="en-US"/>
        </w:rPr>
        <w:t>isosymmetric</w:t>
      </w:r>
      <w:proofErr w:type="spellEnd"/>
      <w:r>
        <w:rPr>
          <w:lang w:val="en-US"/>
        </w:rPr>
        <w:t xml:space="preserve"> insulator-to-metal </w:t>
      </w:r>
      <w:r w:rsidR="00357C43">
        <w:rPr>
          <w:lang w:val="en-US"/>
        </w:rPr>
        <w:t xml:space="preserve">transition </w:t>
      </w:r>
      <w:r>
        <w:rPr>
          <w:lang w:val="en-US"/>
        </w:rPr>
        <w:t xml:space="preserve">(IMT) </w:t>
      </w:r>
      <w:r w:rsidR="00357C43">
        <w:rPr>
          <w:lang w:val="en-US"/>
        </w:rPr>
        <w:t>a</w:t>
      </w:r>
      <w:r>
        <w:rPr>
          <w:lang w:val="en-US"/>
        </w:rPr>
        <w:t>t elevated temperatures. Strain engineering through careful choice of substrate dramatically shift the transition temperature to either higher or lower temperatures, even suppressing it entirely in either direction</w:t>
      </w:r>
      <w:r w:rsidR="004F10BC">
        <w:rPr>
          <w:lang w:val="en-US"/>
        </w:rPr>
        <w:t xml:space="preserve"> (i.e., stabilizing purely metallic or insulating </w:t>
      </w:r>
      <w:proofErr w:type="spellStart"/>
      <w:r w:rsidR="004F10BC">
        <w:rPr>
          <w:lang w:val="en-US"/>
        </w:rPr>
        <w:t>behaviour</w:t>
      </w:r>
      <w:proofErr w:type="spellEnd"/>
      <w:r w:rsidR="004F10BC">
        <w:rPr>
          <w:lang w:val="en-US"/>
        </w:rPr>
        <w:t>)</w:t>
      </w:r>
      <w:r>
        <w:rPr>
          <w:lang w:val="en-US"/>
        </w:rPr>
        <w:t xml:space="preserve">. </w:t>
      </w:r>
      <w:r w:rsidR="004F10BC">
        <w:rPr>
          <w:lang w:val="en-US"/>
        </w:rPr>
        <w:t xml:space="preserve">At intermediate strains, mesoscopic structural analysis by x-ray phase reconstruction demonstrated the coexistence of metallic and insulating structural phases below the </w:t>
      </w:r>
      <w:r w:rsidR="00357C43">
        <w:rPr>
          <w:lang w:val="en-US"/>
        </w:rPr>
        <w:t xml:space="preserve">reduced </w:t>
      </w:r>
      <w:r w:rsidR="004F10BC">
        <w:rPr>
          <w:lang w:val="en-US"/>
        </w:rPr>
        <w:t xml:space="preserve">IMT </w:t>
      </w:r>
      <w:proofErr w:type="gramStart"/>
      <w:r w:rsidR="004F10BC">
        <w:rPr>
          <w:lang w:val="en-US"/>
        </w:rPr>
        <w:t>temperature</w:t>
      </w:r>
      <w:r w:rsidR="00357C43" w:rsidRPr="00357C43">
        <w:rPr>
          <w:vertAlign w:val="superscript"/>
          <w:lang w:val="en-US"/>
        </w:rPr>
        <w:t>[</w:t>
      </w:r>
      <w:proofErr w:type="gramEnd"/>
      <w:r w:rsidR="00357C43" w:rsidRPr="00357C43">
        <w:rPr>
          <w:vertAlign w:val="superscript"/>
          <w:lang w:val="en-US"/>
        </w:rPr>
        <w:t>1]</w:t>
      </w:r>
      <w:r w:rsidR="004F10BC">
        <w:rPr>
          <w:lang w:val="en-US"/>
        </w:rPr>
        <w:t xml:space="preserve">. Here, we employ variable-temperature cryo-STEM to track the nanoscale configuration and evolution of these </w:t>
      </w:r>
      <w:r w:rsidR="00A94608">
        <w:rPr>
          <w:lang w:val="en-US"/>
        </w:rPr>
        <w:t>divergent</w:t>
      </w:r>
      <w:r w:rsidR="004F10BC">
        <w:rPr>
          <w:lang w:val="en-US"/>
        </w:rPr>
        <w:t xml:space="preserve"> phases, spanning hundreds of nanometers with atomic resolution. Our results provide new insights about the relevant elastic and lattice energies and their competition in epitaxial films.  </w:t>
      </w:r>
    </w:p>
    <w:p w14:paraId="41085837" w14:textId="77777777" w:rsidR="00A94608" w:rsidRDefault="00A94608" w:rsidP="00172F51">
      <w:pPr>
        <w:pStyle w:val="Default"/>
        <w:jc w:val="both"/>
        <w:rPr>
          <w:lang w:val="en-US"/>
        </w:rPr>
      </w:pPr>
    </w:p>
    <w:p w14:paraId="75208D4F" w14:textId="12C3A4BE" w:rsidR="00A94608" w:rsidRPr="00A94608" w:rsidRDefault="00A94608" w:rsidP="00172F51">
      <w:pPr>
        <w:pStyle w:val="Default"/>
        <w:jc w:val="both"/>
        <w:rPr>
          <w:lang w:val="en-US"/>
        </w:rPr>
      </w:pPr>
      <w:r>
        <w:rPr>
          <w:lang w:val="en-US"/>
        </w:rPr>
        <w:t>In some compounds, epitaxial strain can mimic the effects of other extreme conditions such as high pressure. Following its initial discovery under high hydrostatic pressure, the recent stabilization of superconductivity in compressively strained bilayer nickelate La</w:t>
      </w:r>
      <w:r w:rsidRPr="00357C43">
        <w:rPr>
          <w:vertAlign w:val="subscript"/>
          <w:lang w:val="en-US"/>
        </w:rPr>
        <w:t>3</w:t>
      </w:r>
      <w:r>
        <w:rPr>
          <w:lang w:val="en-US"/>
        </w:rPr>
        <w:t>Ni</w:t>
      </w:r>
      <w:r w:rsidRPr="00357C43">
        <w:rPr>
          <w:vertAlign w:val="subscript"/>
          <w:lang w:val="en-US"/>
        </w:rPr>
        <w:t>2</w:t>
      </w:r>
      <w:r>
        <w:rPr>
          <w:lang w:val="en-US"/>
        </w:rPr>
        <w:t>O</w:t>
      </w:r>
      <w:r w:rsidRPr="00357C43">
        <w:rPr>
          <w:vertAlign w:val="subscript"/>
          <w:lang w:val="en-US"/>
        </w:rPr>
        <w:t>7</w:t>
      </w:r>
      <w:r>
        <w:rPr>
          <w:lang w:val="en-US"/>
        </w:rPr>
        <w:t xml:space="preserve"> thin films opened the door to exquisite investigation of atomic structure and bonding environments thought to drive superconductivity. </w:t>
      </w:r>
      <w:proofErr w:type="spellStart"/>
      <w:r>
        <w:t>Leveraging</w:t>
      </w:r>
      <w:proofErr w:type="spellEnd"/>
      <w:r>
        <w:t xml:space="preserve"> the </w:t>
      </w:r>
      <w:proofErr w:type="spellStart"/>
      <w:r>
        <w:t>highest</w:t>
      </w:r>
      <w:proofErr w:type="spellEnd"/>
      <w:r>
        <w:t xml:space="preserve"> </w:t>
      </w:r>
      <w:proofErr w:type="spellStart"/>
      <w:r>
        <w:t>accessible</w:t>
      </w:r>
      <w:proofErr w:type="spellEnd"/>
      <w:r>
        <w:t xml:space="preserve"> </w:t>
      </w:r>
      <w:proofErr w:type="spellStart"/>
      <w:r>
        <w:t>spatial</w:t>
      </w:r>
      <w:proofErr w:type="spellEnd"/>
      <w:r>
        <w:t xml:space="preserve"> </w:t>
      </w:r>
      <w:proofErr w:type="spellStart"/>
      <w:r>
        <w:t>resolution</w:t>
      </w:r>
      <w:proofErr w:type="spellEnd"/>
      <w:r>
        <w:t xml:space="preserve"> and </w:t>
      </w:r>
      <w:proofErr w:type="spellStart"/>
      <w:r>
        <w:t>light-element</w:t>
      </w:r>
      <w:proofErr w:type="spellEnd"/>
      <w:r>
        <w:t xml:space="preserve"> </w:t>
      </w:r>
      <w:proofErr w:type="spellStart"/>
      <w:r>
        <w:t>sensitivity</w:t>
      </w:r>
      <w:proofErr w:type="spellEnd"/>
      <w:r>
        <w:t xml:space="preserve"> </w:t>
      </w:r>
      <w:proofErr w:type="spellStart"/>
      <w:r>
        <w:t>enabled</w:t>
      </w:r>
      <w:proofErr w:type="spellEnd"/>
      <w:r>
        <w:t xml:space="preserve"> </w:t>
      </w:r>
      <w:proofErr w:type="spellStart"/>
      <w:r>
        <w:t>by</w:t>
      </w:r>
      <w:proofErr w:type="spellEnd"/>
      <w:r>
        <w:t xml:space="preserve"> </w:t>
      </w:r>
      <w:proofErr w:type="spellStart"/>
      <w:r>
        <w:t>state</w:t>
      </w:r>
      <w:proofErr w:type="spellEnd"/>
      <w:r>
        <w:t>-of-the-</w:t>
      </w:r>
      <w:proofErr w:type="spellStart"/>
      <w:r>
        <w:t>art</w:t>
      </w:r>
      <w:proofErr w:type="spellEnd"/>
      <w:r>
        <w:t xml:space="preserve"> </w:t>
      </w:r>
      <w:proofErr w:type="spellStart"/>
      <w:r>
        <w:t>multislice</w:t>
      </w:r>
      <w:proofErr w:type="spellEnd"/>
      <w:r>
        <w:t xml:space="preserve"> </w:t>
      </w:r>
      <w:proofErr w:type="spellStart"/>
      <w:r>
        <w:t>electron</w:t>
      </w:r>
      <w:proofErr w:type="spellEnd"/>
      <w:r>
        <w:t xml:space="preserve"> </w:t>
      </w:r>
      <w:proofErr w:type="spellStart"/>
      <w:r>
        <w:t>ptychography</w:t>
      </w:r>
      <w:proofErr w:type="spellEnd"/>
      <w:r>
        <w:t xml:space="preserve">, </w:t>
      </w:r>
      <w:proofErr w:type="spellStart"/>
      <w:r>
        <w:t>we</w:t>
      </w:r>
      <w:proofErr w:type="spellEnd"/>
      <w:r>
        <w:t xml:space="preserve"> </w:t>
      </w:r>
      <w:proofErr w:type="spellStart"/>
      <w:r>
        <w:t>survey</w:t>
      </w:r>
      <w:proofErr w:type="spellEnd"/>
      <w:r>
        <w:t xml:space="preserve"> a </w:t>
      </w:r>
      <w:proofErr w:type="spellStart"/>
      <w:r>
        <w:t>series</w:t>
      </w:r>
      <w:proofErr w:type="spellEnd"/>
      <w:r>
        <w:t xml:space="preserve"> of </w:t>
      </w:r>
      <w:proofErr w:type="spellStart"/>
      <w:r>
        <w:t>bilayer</w:t>
      </w:r>
      <w:proofErr w:type="spellEnd"/>
      <w:r>
        <w:t xml:space="preserve"> </w:t>
      </w:r>
      <w:proofErr w:type="spellStart"/>
      <w:r>
        <w:t>nickelate</w:t>
      </w:r>
      <w:proofErr w:type="spellEnd"/>
      <w:r>
        <w:t xml:space="preserve"> </w:t>
      </w:r>
      <w:proofErr w:type="spellStart"/>
      <w:r>
        <w:t>thin</w:t>
      </w:r>
      <w:proofErr w:type="spellEnd"/>
      <w:r>
        <w:t xml:space="preserve"> </w:t>
      </w:r>
      <w:proofErr w:type="spellStart"/>
      <w:r>
        <w:t>films</w:t>
      </w:r>
      <w:proofErr w:type="spellEnd"/>
      <w:r>
        <w:t xml:space="preserve"> </w:t>
      </w:r>
      <w:proofErr w:type="spellStart"/>
      <w:r>
        <w:t>spanning</w:t>
      </w:r>
      <w:proofErr w:type="spellEnd"/>
      <w:r>
        <w:t xml:space="preserve"> a </w:t>
      </w:r>
      <w:proofErr w:type="spellStart"/>
      <w:r>
        <w:t>full</w:t>
      </w:r>
      <w:proofErr w:type="spellEnd"/>
      <w:r>
        <w:t xml:space="preserve"> </w:t>
      </w:r>
      <w:proofErr w:type="spellStart"/>
      <w:r>
        <w:t>series</w:t>
      </w:r>
      <w:proofErr w:type="spellEnd"/>
      <w:r>
        <w:t xml:space="preserve"> of </w:t>
      </w:r>
      <w:proofErr w:type="spellStart"/>
      <w:r>
        <w:t>tensile</w:t>
      </w:r>
      <w:proofErr w:type="spellEnd"/>
      <w:r>
        <w:t xml:space="preserve"> and </w:t>
      </w:r>
      <w:proofErr w:type="spellStart"/>
      <w:r>
        <w:t>compressive</w:t>
      </w:r>
      <w:proofErr w:type="spellEnd"/>
      <w:r>
        <w:t xml:space="preserve"> </w:t>
      </w:r>
      <w:proofErr w:type="spellStart"/>
      <w:r>
        <w:t>strain</w:t>
      </w:r>
      <w:proofErr w:type="spellEnd"/>
      <w:r>
        <w:rPr>
          <w:lang w:val="en-US"/>
        </w:rPr>
        <w:t>, revealing a strain-dependent evolution of octahedral symmetry</w:t>
      </w:r>
      <w:r>
        <w:t xml:space="preserve">. </w:t>
      </w:r>
      <w:proofErr w:type="spellStart"/>
      <w:r>
        <w:t>We</w:t>
      </w:r>
      <w:proofErr w:type="spellEnd"/>
      <w:r>
        <w:t xml:space="preserve"> </w:t>
      </w:r>
      <w:proofErr w:type="spellStart"/>
      <w:r>
        <w:t>combine</w:t>
      </w:r>
      <w:proofErr w:type="spellEnd"/>
      <w:r>
        <w:t xml:space="preserve"> </w:t>
      </w:r>
      <w:proofErr w:type="spellStart"/>
      <w:r>
        <w:t>these</w:t>
      </w:r>
      <w:proofErr w:type="spellEnd"/>
      <w:r>
        <w:t xml:space="preserve"> </w:t>
      </w:r>
      <w:proofErr w:type="spellStart"/>
      <w:r>
        <w:t>experimental</w:t>
      </w:r>
      <w:proofErr w:type="spellEnd"/>
      <w:r>
        <w:t xml:space="preserve"> </w:t>
      </w:r>
      <w:proofErr w:type="spellStart"/>
      <w:r>
        <w:t>with</w:t>
      </w:r>
      <w:proofErr w:type="spellEnd"/>
      <w:r>
        <w:t xml:space="preserve"> </w:t>
      </w:r>
      <w:proofErr w:type="spellStart"/>
      <w:r>
        <w:t>strain-decomposed</w:t>
      </w:r>
      <w:proofErr w:type="spellEnd"/>
      <w:r>
        <w:t xml:space="preserve"> DFT </w:t>
      </w:r>
      <w:proofErr w:type="spellStart"/>
      <w:r>
        <w:t>calculations</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correlations</w:t>
      </w:r>
      <w:proofErr w:type="spellEnd"/>
      <w:r>
        <w:t xml:space="preserve"> </w:t>
      </w:r>
      <w:proofErr w:type="spellStart"/>
      <w:r>
        <w:t>between</w:t>
      </w:r>
      <w:proofErr w:type="spellEnd"/>
      <w:r>
        <w:t xml:space="preserve"> the </w:t>
      </w:r>
      <w:proofErr w:type="spellStart"/>
      <w:r>
        <w:t>observed</w:t>
      </w:r>
      <w:proofErr w:type="spellEnd"/>
      <w:r>
        <w:t xml:space="preserve"> </w:t>
      </w:r>
      <w:proofErr w:type="spellStart"/>
      <w:r>
        <w:t>atomic</w:t>
      </w:r>
      <w:proofErr w:type="spellEnd"/>
      <w:r>
        <w:t xml:space="preserve"> </w:t>
      </w:r>
      <w:proofErr w:type="spellStart"/>
      <w:r>
        <w:t>structure</w:t>
      </w:r>
      <w:proofErr w:type="spellEnd"/>
      <w:r>
        <w:t xml:space="preserve"> and </w:t>
      </w:r>
      <w:proofErr w:type="spellStart"/>
      <w:r>
        <w:t>superconductivity</w:t>
      </w:r>
      <w:proofErr w:type="spellEnd"/>
      <w:r>
        <w:t>.</w:t>
      </w:r>
      <w:r w:rsidRPr="00BC3385">
        <w:rPr>
          <w:vertAlign w:val="superscript"/>
        </w:rPr>
        <w:t>[</w:t>
      </w:r>
      <w:r w:rsidR="00357C43">
        <w:rPr>
          <w:vertAlign w:val="superscript"/>
          <w:lang w:val="en-US"/>
        </w:rPr>
        <w:t>2</w:t>
      </w:r>
      <w:r w:rsidRPr="00BC3385">
        <w:rPr>
          <w:vertAlign w:val="superscript"/>
        </w:rPr>
        <w:t>]</w:t>
      </w:r>
    </w:p>
    <w:p w14:paraId="120DCE7C" w14:textId="77777777" w:rsidR="00963BC5" w:rsidRDefault="00963BC5" w:rsidP="00172F51">
      <w:pPr>
        <w:spacing w:line="240" w:lineRule="auto"/>
        <w:jc w:val="both"/>
        <w:rPr>
          <w:rFonts w:ascii="Times New Roman" w:hAnsi="Times New Roman"/>
          <w:color w:val="000000"/>
          <w:sz w:val="24"/>
          <w:szCs w:val="24"/>
          <w:lang w:val="en-US"/>
        </w:rPr>
      </w:pPr>
    </w:p>
    <w:p w14:paraId="1090A4C2" w14:textId="7C443E43" w:rsidR="00357C43" w:rsidRDefault="00357C43" w:rsidP="00357C43">
      <w:pPr>
        <w:pStyle w:val="ListParagraph"/>
        <w:numPr>
          <w:ilvl w:val="0"/>
          <w:numId w:val="1"/>
        </w:numPr>
        <w:spacing w:line="360" w:lineRule="auto"/>
        <w:rPr>
          <w:sz w:val="24"/>
          <w:szCs w:val="24"/>
        </w:rPr>
      </w:pPr>
      <w:proofErr w:type="spellStart"/>
      <w:r w:rsidRPr="00357C43">
        <w:rPr>
          <w:sz w:val="24"/>
          <w:szCs w:val="24"/>
          <w:lang w:val="el-GR"/>
        </w:rPr>
        <w:t>Gorobtsov</w:t>
      </w:r>
      <w:proofErr w:type="spellEnd"/>
      <w:r>
        <w:rPr>
          <w:sz w:val="24"/>
          <w:szCs w:val="24"/>
        </w:rPr>
        <w:t xml:space="preserve"> et al. </w:t>
      </w:r>
      <w:r>
        <w:rPr>
          <w:i/>
          <w:iCs/>
          <w:sz w:val="24"/>
          <w:szCs w:val="24"/>
        </w:rPr>
        <w:t>Advanced Materials</w:t>
      </w:r>
      <w:r>
        <w:rPr>
          <w:sz w:val="24"/>
          <w:szCs w:val="24"/>
        </w:rPr>
        <w:t xml:space="preserve"> 36, 2403873 (2024).</w:t>
      </w:r>
    </w:p>
    <w:p w14:paraId="00B725EB" w14:textId="41CA7FAB" w:rsidR="00357C43" w:rsidRPr="009647E5" w:rsidRDefault="00357C43" w:rsidP="00357C43">
      <w:pPr>
        <w:pStyle w:val="ListParagraph"/>
        <w:numPr>
          <w:ilvl w:val="0"/>
          <w:numId w:val="1"/>
        </w:numPr>
        <w:spacing w:line="360" w:lineRule="auto"/>
        <w:rPr>
          <w:sz w:val="24"/>
          <w:szCs w:val="24"/>
        </w:rPr>
      </w:pPr>
      <w:r>
        <w:rPr>
          <w:sz w:val="24"/>
          <w:szCs w:val="24"/>
        </w:rPr>
        <w:t xml:space="preserve">Bhatt et al. </w:t>
      </w:r>
      <w:r w:rsidRPr="00DB3025">
        <w:rPr>
          <w:i/>
          <w:iCs/>
          <w:sz w:val="24"/>
          <w:szCs w:val="24"/>
        </w:rPr>
        <w:t>arXiv:2501.08204</w:t>
      </w:r>
      <w:r>
        <w:rPr>
          <w:i/>
          <w:iCs/>
          <w:sz w:val="24"/>
          <w:szCs w:val="24"/>
        </w:rPr>
        <w:t xml:space="preserve"> </w:t>
      </w:r>
      <w:r>
        <w:rPr>
          <w:sz w:val="24"/>
          <w:szCs w:val="24"/>
        </w:rPr>
        <w:t>(2025).</w:t>
      </w:r>
    </w:p>
    <w:p w14:paraId="052BE9DB" w14:textId="77777777" w:rsidR="00357C43" w:rsidRPr="00963BC5" w:rsidRDefault="00357C43" w:rsidP="00172F51">
      <w:pPr>
        <w:spacing w:line="240" w:lineRule="auto"/>
        <w:jc w:val="both"/>
        <w:rPr>
          <w:rFonts w:ascii="Times New Roman" w:hAnsi="Times New Roman"/>
          <w:color w:val="000000"/>
          <w:sz w:val="24"/>
          <w:szCs w:val="24"/>
          <w:lang w:val="en-US"/>
        </w:rPr>
      </w:pP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844"/>
    <w:multiLevelType w:val="hybridMultilevel"/>
    <w:tmpl w:val="8332A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9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8040D"/>
    <w:rsid w:val="000C71EF"/>
    <w:rsid w:val="00172F51"/>
    <w:rsid w:val="00184EE1"/>
    <w:rsid w:val="002613C6"/>
    <w:rsid w:val="002A0132"/>
    <w:rsid w:val="002B1B1E"/>
    <w:rsid w:val="00357C43"/>
    <w:rsid w:val="004573FD"/>
    <w:rsid w:val="0047107B"/>
    <w:rsid w:val="004B6517"/>
    <w:rsid w:val="004E0655"/>
    <w:rsid w:val="004F10BC"/>
    <w:rsid w:val="005014C5"/>
    <w:rsid w:val="00574ABC"/>
    <w:rsid w:val="005A1240"/>
    <w:rsid w:val="00720782"/>
    <w:rsid w:val="00724F1B"/>
    <w:rsid w:val="007A0D62"/>
    <w:rsid w:val="00881DBF"/>
    <w:rsid w:val="008D668D"/>
    <w:rsid w:val="008E26FD"/>
    <w:rsid w:val="008E74FE"/>
    <w:rsid w:val="00907CC2"/>
    <w:rsid w:val="00910550"/>
    <w:rsid w:val="00930169"/>
    <w:rsid w:val="00932F81"/>
    <w:rsid w:val="00963BC5"/>
    <w:rsid w:val="009A3324"/>
    <w:rsid w:val="009B4DB7"/>
    <w:rsid w:val="00A94608"/>
    <w:rsid w:val="00B14154"/>
    <w:rsid w:val="00B91298"/>
    <w:rsid w:val="00BC3385"/>
    <w:rsid w:val="00C67C56"/>
    <w:rsid w:val="00CE10EB"/>
    <w:rsid w:val="00DA66F7"/>
    <w:rsid w:val="00DC42A2"/>
    <w:rsid w:val="00DE23D9"/>
    <w:rsid w:val="00E16B73"/>
    <w:rsid w:val="00E412FD"/>
    <w:rsid w:val="00E50186"/>
    <w:rsid w:val="00EB09D4"/>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ListParagraph">
    <w:name w:val="List Paragraph"/>
    <w:basedOn w:val="Normal"/>
    <w:uiPriority w:val="34"/>
    <w:qFormat/>
    <w:rsid w:val="00357C43"/>
    <w:pPr>
      <w:widowControl w:val="0"/>
      <w:wordWrap w:val="0"/>
      <w:autoSpaceDE w:val="0"/>
      <w:autoSpaceDN w:val="0"/>
      <w:spacing w:after="0" w:line="240" w:lineRule="auto"/>
      <w:ind w:left="720"/>
      <w:contextualSpacing/>
      <w:jc w:val="both"/>
    </w:pPr>
    <w:rPr>
      <w:rFonts w:ascii="Times New Roman" w:eastAsia="Malgun Gothic" w:hAnsi="Times New Roman"/>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420</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Berit Hansen Goodge</cp:lastModifiedBy>
  <cp:revision>15</cp:revision>
  <dcterms:created xsi:type="dcterms:W3CDTF">2024-11-13T14:38:00Z</dcterms:created>
  <dcterms:modified xsi:type="dcterms:W3CDTF">2025-08-05T08:03:00Z</dcterms:modified>
</cp:coreProperties>
</file>