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5F430D09" w:rsidR="00172F51" w:rsidRPr="00E412FD" w:rsidRDefault="00697E8A" w:rsidP="00172F51">
      <w:pPr>
        <w:pStyle w:val="Default"/>
        <w:jc w:val="center"/>
        <w:rPr>
          <w:sz w:val="28"/>
          <w:szCs w:val="28"/>
          <w:lang w:val="en-US"/>
        </w:rPr>
      </w:pPr>
      <w:r w:rsidRPr="00697E8A">
        <w:rPr>
          <w:b/>
          <w:bCs/>
          <w:sz w:val="28"/>
          <w:szCs w:val="28"/>
        </w:rPr>
        <w:t xml:space="preserve">Beyond the </w:t>
      </w:r>
      <w:r w:rsidRPr="00697E8A">
        <w:rPr>
          <w:b/>
          <w:bCs/>
          <w:sz w:val="28"/>
          <w:szCs w:val="28"/>
          <w:lang w:val="en-US"/>
        </w:rPr>
        <w:t>p</w:t>
      </w:r>
      <w:r w:rsidRPr="00697E8A">
        <w:rPr>
          <w:b/>
          <w:bCs/>
          <w:sz w:val="28"/>
          <w:szCs w:val="28"/>
        </w:rPr>
        <w:t xml:space="preserve">ixel: </w:t>
      </w:r>
      <w:r w:rsidRPr="00697E8A">
        <w:rPr>
          <w:b/>
          <w:bCs/>
          <w:sz w:val="28"/>
          <w:szCs w:val="28"/>
          <w:lang w:val="en-US"/>
        </w:rPr>
        <w:t>ox</w:t>
      </w:r>
      <w:r>
        <w:rPr>
          <w:b/>
          <w:bCs/>
          <w:sz w:val="28"/>
          <w:szCs w:val="28"/>
          <w:lang w:val="en-US"/>
        </w:rPr>
        <w:t xml:space="preserve">ide </w:t>
      </w:r>
      <w:r w:rsidRPr="00697E8A">
        <w:rPr>
          <w:b/>
          <w:bCs/>
          <w:sz w:val="28"/>
          <w:szCs w:val="28"/>
        </w:rPr>
        <w:t xml:space="preserve">TFTs </w:t>
      </w:r>
      <w:r w:rsidRPr="00697E8A">
        <w:rPr>
          <w:b/>
          <w:bCs/>
          <w:sz w:val="28"/>
          <w:szCs w:val="28"/>
          <w:lang w:val="en-US"/>
        </w:rPr>
        <w:t>s</w:t>
      </w:r>
      <w:r w:rsidRPr="00697E8A">
        <w:rPr>
          <w:b/>
          <w:bCs/>
          <w:sz w:val="28"/>
          <w:szCs w:val="28"/>
        </w:rPr>
        <w:t xml:space="preserve">haping </w:t>
      </w:r>
      <w:r w:rsidRPr="00697E8A">
        <w:rPr>
          <w:b/>
          <w:bCs/>
          <w:sz w:val="28"/>
          <w:szCs w:val="28"/>
          <w:lang w:val="en-US"/>
        </w:rPr>
        <w:t>s</w:t>
      </w:r>
      <w:r w:rsidRPr="00697E8A">
        <w:rPr>
          <w:b/>
          <w:bCs/>
          <w:sz w:val="28"/>
          <w:szCs w:val="28"/>
        </w:rPr>
        <w:t xml:space="preserve">mart, </w:t>
      </w:r>
      <w:r w:rsidRPr="00697E8A">
        <w:rPr>
          <w:b/>
          <w:bCs/>
          <w:sz w:val="28"/>
          <w:szCs w:val="28"/>
          <w:lang w:val="en-US"/>
        </w:rPr>
        <w:t>s</w:t>
      </w:r>
      <w:r w:rsidRPr="00697E8A">
        <w:rPr>
          <w:b/>
          <w:bCs/>
          <w:sz w:val="28"/>
          <w:szCs w:val="28"/>
        </w:rPr>
        <w:t xml:space="preserve">ustainable </w:t>
      </w:r>
      <w:r w:rsidRPr="00697E8A">
        <w:rPr>
          <w:b/>
          <w:bCs/>
          <w:sz w:val="28"/>
          <w:szCs w:val="28"/>
          <w:lang w:val="en-US"/>
        </w:rPr>
        <w:t>s</w:t>
      </w:r>
      <w:r w:rsidRPr="00697E8A">
        <w:rPr>
          <w:b/>
          <w:bCs/>
          <w:sz w:val="28"/>
          <w:szCs w:val="28"/>
        </w:rPr>
        <w:t>ystems</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4FA41E43" w:rsidR="0007701F" w:rsidRDefault="00697E8A" w:rsidP="00172F51">
      <w:pPr>
        <w:pStyle w:val="Default"/>
        <w:jc w:val="center"/>
        <w:rPr>
          <w:sz w:val="22"/>
          <w:szCs w:val="22"/>
          <w:lang w:val="en-US"/>
        </w:rPr>
      </w:pPr>
      <w:r>
        <w:rPr>
          <w:sz w:val="22"/>
          <w:szCs w:val="22"/>
          <w:lang w:val="en-US"/>
        </w:rPr>
        <w:t>P. Barquinha</w:t>
      </w:r>
      <w:r w:rsidR="00172F51" w:rsidRPr="00DC42A2">
        <w:rPr>
          <w:sz w:val="22"/>
          <w:szCs w:val="22"/>
          <w:vertAlign w:val="superscript"/>
          <w:lang w:val="en-US"/>
        </w:rPr>
        <w:t>1</w:t>
      </w:r>
      <w:r w:rsidR="00172F51" w:rsidRPr="00B00A4B">
        <w:rPr>
          <w:sz w:val="22"/>
          <w:szCs w:val="22"/>
          <w:lang w:val="en-US"/>
        </w:rPr>
        <w:t xml:space="preserve"> </w:t>
      </w:r>
    </w:p>
    <w:p w14:paraId="33B59775" w14:textId="73AD7B29" w:rsidR="00697E8A" w:rsidRPr="00B00A4B" w:rsidRDefault="00172F51" w:rsidP="00697E8A">
      <w:pPr>
        <w:pStyle w:val="Default"/>
        <w:jc w:val="center"/>
        <w:rPr>
          <w:i/>
          <w:iCs/>
          <w:sz w:val="22"/>
          <w:szCs w:val="22"/>
          <w:lang w:val="en-US"/>
        </w:rPr>
      </w:pPr>
      <w:r w:rsidRPr="00DC42A2">
        <w:rPr>
          <w:i/>
          <w:iCs/>
          <w:sz w:val="22"/>
          <w:szCs w:val="22"/>
          <w:vertAlign w:val="superscript"/>
          <w:lang w:val="en-US"/>
        </w:rPr>
        <w:t>1</w:t>
      </w:r>
      <w:r w:rsidRPr="00B00A4B">
        <w:rPr>
          <w:i/>
          <w:iCs/>
          <w:sz w:val="22"/>
          <w:szCs w:val="22"/>
          <w:lang w:val="en-US"/>
        </w:rPr>
        <w:t xml:space="preserve"> </w:t>
      </w:r>
      <w:r w:rsidR="00697E8A" w:rsidRPr="00697E8A">
        <w:rPr>
          <w:i/>
          <w:iCs/>
          <w:sz w:val="22"/>
          <w:szCs w:val="22"/>
          <w:lang w:val="en-US"/>
        </w:rPr>
        <w:t>CENIMAT|i3N, Department of Materials Science, School of Science and Technology, NOVA University Lisbon (NOVA FCT) and CEMOP/UNINOVA, Caparica, Portugal</w:t>
      </w:r>
    </w:p>
    <w:p w14:paraId="48D2A0C1" w14:textId="293FC191" w:rsidR="00172F51" w:rsidRPr="00B00A4B" w:rsidRDefault="00172F51" w:rsidP="00172F51">
      <w:pPr>
        <w:pStyle w:val="Default"/>
        <w:jc w:val="center"/>
        <w:rPr>
          <w:i/>
          <w:iCs/>
          <w:sz w:val="22"/>
          <w:szCs w:val="22"/>
          <w:lang w:val="en-US"/>
        </w:rPr>
      </w:pPr>
    </w:p>
    <w:p w14:paraId="536DF3AA" w14:textId="77777777" w:rsidR="00172F51" w:rsidRDefault="00172F51" w:rsidP="00172F51">
      <w:pPr>
        <w:pStyle w:val="Default"/>
        <w:jc w:val="center"/>
        <w:rPr>
          <w:i/>
          <w:iCs/>
          <w:sz w:val="22"/>
          <w:szCs w:val="22"/>
          <w:lang w:val="en-US"/>
        </w:rPr>
      </w:pPr>
    </w:p>
    <w:p w14:paraId="1EDEB41D" w14:textId="57BE7E57" w:rsidR="00697E8A" w:rsidRPr="00697E8A" w:rsidRDefault="00697E8A" w:rsidP="00697E8A">
      <w:pPr>
        <w:pStyle w:val="Default"/>
        <w:jc w:val="both"/>
        <w:rPr>
          <w:lang w:val="en-US"/>
        </w:rPr>
      </w:pPr>
      <w:r w:rsidRPr="00697E8A">
        <w:rPr>
          <w:lang w:val="en-US"/>
        </w:rPr>
        <w:t>Thin-film transistors (TFTs) have been essential to the display industry, enabling active-matrix backplanes for individual pixel addressing. However, their unique advantages—such as ultra-low cost, mechanical flexibility, and compatibility with large-area fabrication—have also driven major advancements in flexible system-on-chip (SoC) integration over the past decade.</w:t>
      </w:r>
    </w:p>
    <w:p w14:paraId="60B08F2E" w14:textId="63237670" w:rsidR="00697E8A" w:rsidRDefault="00697E8A" w:rsidP="00697E8A">
      <w:pPr>
        <w:pStyle w:val="Default"/>
        <w:jc w:val="both"/>
        <w:rPr>
          <w:lang w:val="en-US"/>
        </w:rPr>
      </w:pPr>
      <w:r w:rsidRPr="00697E8A">
        <w:rPr>
          <w:lang w:val="en-US"/>
        </w:rPr>
        <w:t>Building on our group's extensive experience at CENIMAT|i3N in low-temperature oxide TFTs, this presentation explores t</w:t>
      </w:r>
      <w:r>
        <w:rPr>
          <w:lang w:val="en-US"/>
        </w:rPr>
        <w:t>hree</w:t>
      </w:r>
      <w:r w:rsidRPr="00697E8A">
        <w:rPr>
          <w:lang w:val="en-US"/>
        </w:rPr>
        <w:t xml:space="preserve"> </w:t>
      </w:r>
      <w:r>
        <w:rPr>
          <w:lang w:val="en-US"/>
        </w:rPr>
        <w:t xml:space="preserve">distinct </w:t>
      </w:r>
      <w:r w:rsidRPr="00697E8A">
        <w:rPr>
          <w:lang w:val="en-US"/>
        </w:rPr>
        <w:t xml:space="preserve">application domains where </w:t>
      </w:r>
      <w:r w:rsidR="007E067E">
        <w:rPr>
          <w:lang w:val="en-US"/>
        </w:rPr>
        <w:t xml:space="preserve">low-voltage operation and/or </w:t>
      </w:r>
      <w:r w:rsidRPr="00697E8A">
        <w:rPr>
          <w:lang w:val="en-US"/>
        </w:rPr>
        <w:t>low power consumption w</w:t>
      </w:r>
      <w:r w:rsidR="007E067E">
        <w:rPr>
          <w:lang w:val="en-US"/>
        </w:rPr>
        <w:t>ere</w:t>
      </w:r>
      <w:r w:rsidRPr="00697E8A">
        <w:rPr>
          <w:lang w:val="en-US"/>
        </w:rPr>
        <w:t xml:space="preserve"> primary design constraint</w:t>
      </w:r>
      <w:r w:rsidR="007E067E">
        <w:rPr>
          <w:lang w:val="en-US"/>
        </w:rPr>
        <w:t>s</w:t>
      </w:r>
      <w:r w:rsidRPr="00697E8A">
        <w:rPr>
          <w:lang w:val="en-US"/>
        </w:rPr>
        <w:t>:</w:t>
      </w:r>
    </w:p>
    <w:p w14:paraId="7071BEF6" w14:textId="77777777" w:rsidR="00697E8A" w:rsidRPr="00697E8A" w:rsidRDefault="00697E8A" w:rsidP="00697E8A">
      <w:pPr>
        <w:pStyle w:val="Default"/>
        <w:numPr>
          <w:ilvl w:val="0"/>
          <w:numId w:val="1"/>
        </w:numPr>
        <w:jc w:val="both"/>
        <w:rPr>
          <w:lang w:val="en-US"/>
        </w:rPr>
      </w:pPr>
      <w:r w:rsidRPr="00697E8A">
        <w:rPr>
          <w:lang w:val="en-US"/>
        </w:rPr>
        <w:t>Pixel circuits for electroluminescent displays, targeting µLEDs and spin-coated quantum-dot (ELQD) technologies. These circuits were optimized for a 35 µm pixel pitch in high-resolution displays, with sub-3 V data voltages enabling microampere-range currents and fine gray level control in miniaturized light-emitting elements.</w:t>
      </w:r>
    </w:p>
    <w:p w14:paraId="216E2CC8" w14:textId="343CADEC" w:rsidR="0031580E" w:rsidRPr="003950B1" w:rsidRDefault="0031580E" w:rsidP="00697E8A">
      <w:pPr>
        <w:pStyle w:val="Default"/>
        <w:numPr>
          <w:ilvl w:val="0"/>
          <w:numId w:val="1"/>
        </w:numPr>
        <w:jc w:val="both"/>
        <w:rPr>
          <w:lang w:val="en-US"/>
        </w:rPr>
      </w:pPr>
      <w:r>
        <w:rPr>
          <w:lang w:val="en-US"/>
        </w:rPr>
        <w:t xml:space="preserve">Ionizing radiation detectors, with fast response and high sensitivity to x-rays. </w:t>
      </w:r>
      <w:r w:rsidR="007E067E">
        <w:rPr>
          <w:lang w:val="en-US"/>
        </w:rPr>
        <w:t xml:space="preserve">Since the initial demonstrations of oxide TFTs as dosimeters by University of Bologna and NOVA FCT </w:t>
      </w:r>
      <w:r w:rsidR="007E067E" w:rsidRPr="003950B1">
        <w:rPr>
          <w:vertAlign w:val="superscript"/>
          <w:lang w:val="en-US"/>
        </w:rPr>
        <w:t>[</w:t>
      </w:r>
      <w:r w:rsidR="003950B1" w:rsidRPr="003950B1">
        <w:rPr>
          <w:vertAlign w:val="superscript"/>
          <w:lang w:val="en-US"/>
        </w:rPr>
        <w:t>1</w:t>
      </w:r>
      <w:r w:rsidR="007E067E" w:rsidRPr="003950B1">
        <w:rPr>
          <w:vertAlign w:val="superscript"/>
          <w:lang w:val="en-US"/>
        </w:rPr>
        <w:t>]</w:t>
      </w:r>
      <w:r w:rsidR="007E067E">
        <w:rPr>
          <w:lang w:val="en-US"/>
        </w:rPr>
        <w:t xml:space="preserve">, more recently we optimized a bi-layer gate dielectric structure by </w:t>
      </w:r>
      <w:r w:rsidR="007E067E" w:rsidRPr="003950B1">
        <w:rPr>
          <w:lang w:val="en-US"/>
        </w:rPr>
        <w:t xml:space="preserve">atomic layer deposition enabling unprecedented </w:t>
      </w:r>
      <w:r w:rsidR="007E067E" w:rsidRPr="003950B1">
        <w:t>sensitivity of (63±2) V/Gy, an order of magnitude larger than previously reported values</w:t>
      </w:r>
      <w:r w:rsidR="003950B1" w:rsidRPr="003950B1">
        <w:rPr>
          <w:lang w:val="en-US"/>
        </w:rPr>
        <w:t xml:space="preserve"> </w:t>
      </w:r>
      <w:r w:rsidR="003950B1" w:rsidRPr="003950B1">
        <w:rPr>
          <w:vertAlign w:val="superscript"/>
          <w:lang w:val="en-US"/>
        </w:rPr>
        <w:t>[2]</w:t>
      </w:r>
      <w:r w:rsidR="007E067E" w:rsidRPr="003950B1">
        <w:rPr>
          <w:lang w:val="en-US"/>
        </w:rPr>
        <w:t>.</w:t>
      </w:r>
    </w:p>
    <w:p w14:paraId="56B7C8BE" w14:textId="11E7AD09" w:rsidR="00697E8A" w:rsidRPr="003950B1" w:rsidRDefault="00697E8A" w:rsidP="00697E8A">
      <w:pPr>
        <w:pStyle w:val="Default"/>
        <w:numPr>
          <w:ilvl w:val="0"/>
          <w:numId w:val="1"/>
        </w:numPr>
        <w:jc w:val="both"/>
        <w:rPr>
          <w:lang w:val="en-US"/>
        </w:rPr>
      </w:pPr>
      <w:r w:rsidRPr="00697E8A">
        <w:rPr>
          <w:lang w:val="en-US"/>
        </w:rPr>
        <w:t>Energy management circuits for autonomous sensing platforms. These include an ultra-low-power wake-up timer</w:t>
      </w:r>
      <w:r w:rsidR="003950B1">
        <w:rPr>
          <w:lang w:val="en-US"/>
        </w:rPr>
        <w:t xml:space="preserve"> (27 nW)</w:t>
      </w:r>
      <w:r w:rsidRPr="00697E8A">
        <w:rPr>
          <w:lang w:val="en-US"/>
        </w:rPr>
        <w:t xml:space="preserve"> </w:t>
      </w:r>
      <w:r w:rsidR="003950B1" w:rsidRPr="003950B1">
        <w:rPr>
          <w:vertAlign w:val="superscript"/>
          <w:lang w:val="en-US"/>
        </w:rPr>
        <w:t>[3]</w:t>
      </w:r>
      <w:r w:rsidR="003950B1" w:rsidRPr="003950B1">
        <w:rPr>
          <w:lang w:val="en-US"/>
        </w:rPr>
        <w:t xml:space="preserve"> </w:t>
      </w:r>
      <w:r w:rsidRPr="00697E8A">
        <w:rPr>
          <w:lang w:val="en-US"/>
        </w:rPr>
        <w:t>and voltage regulation blocks capable of supplying three independent power rails from solar energy sources. Key strategies included the use of low-dropout regulators and circuit topologies that exploit transistor leakage currents to generate ultra-low-frequency timing signals.</w:t>
      </w:r>
    </w:p>
    <w:p w14:paraId="55C1D7D1" w14:textId="77777777" w:rsidR="00697E8A" w:rsidRPr="003950B1" w:rsidRDefault="00697E8A" w:rsidP="00697E8A">
      <w:pPr>
        <w:pStyle w:val="Default"/>
        <w:jc w:val="both"/>
        <w:rPr>
          <w:lang w:val="en-US"/>
        </w:rPr>
      </w:pPr>
    </w:p>
    <w:p w14:paraId="7FFE1956" w14:textId="06364B1E" w:rsidR="00172F51" w:rsidRPr="003950B1" w:rsidRDefault="00697E8A" w:rsidP="00697E8A">
      <w:pPr>
        <w:pStyle w:val="Default"/>
        <w:jc w:val="both"/>
        <w:rPr>
          <w:lang w:val="en-US"/>
        </w:rPr>
      </w:pPr>
      <w:r w:rsidRPr="00697E8A">
        <w:rPr>
          <w:lang w:val="en-US"/>
        </w:rPr>
        <w:t>In addition, an innovative and universal approach for integrating these flexible circuits with other components—whether on rigid or flexible substrates—will be presented. This method uses conductive adhesives with printed interconnects to link flexible circuit pads to external components, overcoming the limitations of wire bonding and direct printing techniques.</w:t>
      </w:r>
      <w:r w:rsidR="00172F51" w:rsidRPr="003950B1">
        <w:rPr>
          <w:b/>
          <w:i/>
          <w:lang w:val="en-US"/>
        </w:rPr>
        <w:t xml:space="preserve"> </w:t>
      </w:r>
    </w:p>
    <w:p w14:paraId="521EF359" w14:textId="77777777" w:rsidR="00172F51" w:rsidRPr="00D83B9D" w:rsidRDefault="00172F51" w:rsidP="00D83B9D">
      <w:pPr>
        <w:spacing w:after="0" w:line="240" w:lineRule="auto"/>
        <w:rPr>
          <w:rFonts w:ascii="Times New Roman" w:hAnsi="Times New Roman"/>
          <w:sz w:val="24"/>
          <w:szCs w:val="24"/>
          <w:lang w:val="en-US"/>
        </w:rPr>
      </w:pPr>
    </w:p>
    <w:p w14:paraId="0BEE3C9C" w14:textId="77777777" w:rsidR="003950B1" w:rsidRDefault="003950B1" w:rsidP="00D83B9D">
      <w:pPr>
        <w:spacing w:after="0" w:line="240" w:lineRule="auto"/>
        <w:rPr>
          <w:rFonts w:ascii="Times New Roman" w:hAnsi="Times New Roman"/>
          <w:sz w:val="24"/>
          <w:szCs w:val="24"/>
          <w:lang w:val="en-US"/>
        </w:rPr>
      </w:pPr>
    </w:p>
    <w:p w14:paraId="57A34022" w14:textId="77777777" w:rsidR="00D83B9D" w:rsidRDefault="00D83B9D" w:rsidP="00D83B9D">
      <w:pPr>
        <w:spacing w:after="0" w:line="240" w:lineRule="auto"/>
        <w:rPr>
          <w:rFonts w:ascii="Times New Roman" w:hAnsi="Times New Roman"/>
          <w:sz w:val="24"/>
          <w:szCs w:val="24"/>
          <w:lang w:val="en-US"/>
        </w:rPr>
      </w:pPr>
    </w:p>
    <w:p w14:paraId="3106470F" w14:textId="77777777" w:rsidR="00D83B9D" w:rsidRDefault="00D83B9D" w:rsidP="00D83B9D">
      <w:pPr>
        <w:spacing w:after="0" w:line="240" w:lineRule="auto"/>
        <w:rPr>
          <w:rFonts w:ascii="Times New Roman" w:hAnsi="Times New Roman"/>
          <w:sz w:val="24"/>
          <w:szCs w:val="24"/>
          <w:lang w:val="en-US"/>
        </w:rPr>
      </w:pPr>
    </w:p>
    <w:p w14:paraId="44C59206" w14:textId="77777777" w:rsidR="00D83B9D" w:rsidRPr="00D83B9D" w:rsidRDefault="00D83B9D" w:rsidP="00D83B9D">
      <w:pPr>
        <w:spacing w:after="0" w:line="240" w:lineRule="auto"/>
        <w:rPr>
          <w:rFonts w:ascii="Times New Roman" w:hAnsi="Times New Roman"/>
          <w:sz w:val="24"/>
          <w:szCs w:val="24"/>
          <w:lang w:val="en-US"/>
        </w:rPr>
      </w:pPr>
    </w:p>
    <w:p w14:paraId="49B4B950" w14:textId="47F2FC52" w:rsidR="003950B1" w:rsidRPr="00D83B9D" w:rsidRDefault="003950B1" w:rsidP="00D83B9D">
      <w:pPr>
        <w:spacing w:after="0" w:line="240" w:lineRule="auto"/>
        <w:rPr>
          <w:rFonts w:ascii="Times New Roman" w:hAnsi="Times New Roman"/>
          <w:sz w:val="24"/>
          <w:szCs w:val="24"/>
          <w:lang w:val="en-US"/>
        </w:rPr>
      </w:pPr>
      <w:r w:rsidRPr="00D83B9D">
        <w:rPr>
          <w:rFonts w:ascii="Times New Roman" w:hAnsi="Times New Roman"/>
          <w:sz w:val="24"/>
          <w:szCs w:val="24"/>
          <w:lang w:val="en-US"/>
        </w:rPr>
        <w:t xml:space="preserve">[1] T. Cramer, </w:t>
      </w:r>
      <w:r w:rsidRPr="00D83B9D">
        <w:rPr>
          <w:rFonts w:ascii="Times New Roman" w:hAnsi="Times New Roman"/>
          <w:i/>
          <w:iCs/>
          <w:sz w:val="24"/>
          <w:szCs w:val="24"/>
          <w:lang w:val="en-US"/>
        </w:rPr>
        <w:t>et al.</w:t>
      </w:r>
      <w:r w:rsidRPr="00D83B9D">
        <w:rPr>
          <w:rFonts w:ascii="Times New Roman" w:hAnsi="Times New Roman"/>
          <w:sz w:val="24"/>
          <w:szCs w:val="24"/>
          <w:lang w:val="en-US"/>
        </w:rPr>
        <w:t xml:space="preserve">, Passive radiofrequency x-ray dosimeter tag based on flexible radiation-sensitive oxide field-effect transistor, </w:t>
      </w:r>
      <w:r w:rsidRPr="00D83B9D">
        <w:rPr>
          <w:rFonts w:ascii="Times New Roman" w:hAnsi="Times New Roman"/>
          <w:i/>
          <w:iCs/>
          <w:sz w:val="24"/>
          <w:szCs w:val="24"/>
          <w:lang w:val="en-US"/>
        </w:rPr>
        <w:t>Sci. Adv.</w:t>
      </w:r>
      <w:r w:rsidRPr="00D83B9D">
        <w:rPr>
          <w:rFonts w:ascii="Times New Roman" w:hAnsi="Times New Roman"/>
          <w:sz w:val="24"/>
          <w:szCs w:val="24"/>
          <w:lang w:val="en-US"/>
        </w:rPr>
        <w:t xml:space="preserve"> 4, eaat1825 (2018). </w:t>
      </w:r>
      <w:hyperlink r:id="rId5" w:history="1">
        <w:r w:rsidRPr="00D83B9D">
          <w:rPr>
            <w:rStyle w:val="Hyperlink"/>
            <w:rFonts w:ascii="Times New Roman" w:hAnsi="Times New Roman"/>
            <w:sz w:val="24"/>
            <w:szCs w:val="24"/>
            <w:lang w:val="en-US"/>
          </w:rPr>
          <w:t>https://doi.org/10.1126/sciadv.aat1825</w:t>
        </w:r>
      </w:hyperlink>
      <w:r w:rsidRPr="00D83B9D">
        <w:rPr>
          <w:rFonts w:ascii="Times New Roman" w:hAnsi="Times New Roman"/>
          <w:sz w:val="24"/>
          <w:szCs w:val="24"/>
          <w:lang w:val="en-US"/>
        </w:rPr>
        <w:t xml:space="preserve"> </w:t>
      </w:r>
    </w:p>
    <w:p w14:paraId="6CB91AB8" w14:textId="12DF762E" w:rsidR="003950B1" w:rsidRPr="00D83B9D" w:rsidRDefault="003950B1" w:rsidP="00D83B9D">
      <w:pPr>
        <w:spacing w:after="0" w:line="240" w:lineRule="auto"/>
        <w:rPr>
          <w:rFonts w:ascii="Times New Roman" w:hAnsi="Times New Roman"/>
          <w:sz w:val="24"/>
          <w:szCs w:val="24"/>
          <w:lang w:val="en-US"/>
        </w:rPr>
      </w:pPr>
      <w:r w:rsidRPr="00D83B9D">
        <w:rPr>
          <w:rFonts w:ascii="Times New Roman" w:hAnsi="Times New Roman"/>
          <w:sz w:val="24"/>
          <w:szCs w:val="24"/>
          <w:lang w:val="en-US"/>
        </w:rPr>
        <w:t xml:space="preserve">[2] </w:t>
      </w:r>
      <w:r w:rsidRPr="00D83B9D">
        <w:rPr>
          <w:rFonts w:ascii="Times New Roman" w:hAnsi="Times New Roman"/>
          <w:sz w:val="24"/>
          <w:szCs w:val="24"/>
        </w:rPr>
        <w:t>C</w:t>
      </w:r>
      <w:r w:rsidRPr="00D83B9D">
        <w:rPr>
          <w:rFonts w:ascii="Times New Roman" w:hAnsi="Times New Roman"/>
          <w:sz w:val="24"/>
          <w:szCs w:val="24"/>
          <w:lang w:val="en-US"/>
        </w:rPr>
        <w:t>.</w:t>
      </w:r>
      <w:r w:rsidRPr="00D83B9D">
        <w:rPr>
          <w:rFonts w:ascii="Times New Roman" w:hAnsi="Times New Roman"/>
          <w:sz w:val="24"/>
          <w:szCs w:val="24"/>
        </w:rPr>
        <w:t xml:space="preserve"> Bordoni, </w:t>
      </w:r>
      <w:r w:rsidRPr="00D83B9D">
        <w:rPr>
          <w:rFonts w:ascii="Times New Roman" w:hAnsi="Times New Roman"/>
          <w:i/>
          <w:iCs/>
          <w:sz w:val="24"/>
          <w:szCs w:val="24"/>
          <w:lang w:val="en-US"/>
        </w:rPr>
        <w:t>et al.</w:t>
      </w:r>
      <w:r w:rsidRPr="00D83B9D">
        <w:rPr>
          <w:rFonts w:ascii="Times New Roman" w:hAnsi="Times New Roman"/>
          <w:sz w:val="24"/>
          <w:szCs w:val="24"/>
          <w:lang w:val="en-US"/>
        </w:rPr>
        <w:t xml:space="preserve">, </w:t>
      </w:r>
      <w:r w:rsidRPr="00D83B9D">
        <w:rPr>
          <w:rFonts w:ascii="Times New Roman" w:hAnsi="Times New Roman"/>
          <w:sz w:val="24"/>
          <w:szCs w:val="24"/>
        </w:rPr>
        <w:t>Dielectric multilayers impact on radiation-induced charge accumulation in highly sensitive oxide field effect transistors</w:t>
      </w:r>
      <w:r w:rsidRPr="00D83B9D">
        <w:rPr>
          <w:rFonts w:ascii="Times New Roman" w:hAnsi="Times New Roman"/>
          <w:sz w:val="24"/>
          <w:szCs w:val="24"/>
          <w:lang w:val="en-US"/>
        </w:rPr>
        <w:t>,</w:t>
      </w:r>
      <w:r w:rsidRPr="00D83B9D">
        <w:rPr>
          <w:rFonts w:ascii="Times New Roman" w:hAnsi="Times New Roman"/>
          <w:sz w:val="24"/>
          <w:szCs w:val="24"/>
        </w:rPr>
        <w:t> </w:t>
      </w:r>
      <w:r w:rsidRPr="00D83B9D">
        <w:rPr>
          <w:rFonts w:ascii="Times New Roman" w:hAnsi="Times New Roman"/>
          <w:i/>
          <w:iCs/>
          <w:sz w:val="24"/>
          <w:szCs w:val="24"/>
        </w:rPr>
        <w:t>APL Mater.</w:t>
      </w:r>
      <w:r w:rsidRPr="00D83B9D">
        <w:rPr>
          <w:rFonts w:ascii="Times New Roman" w:hAnsi="Times New Roman"/>
          <w:sz w:val="24"/>
          <w:szCs w:val="24"/>
        </w:rPr>
        <w:t> 12, 031106 (2024)</w:t>
      </w:r>
      <w:r w:rsidRPr="00D83B9D">
        <w:rPr>
          <w:rFonts w:ascii="Times New Roman" w:hAnsi="Times New Roman"/>
          <w:sz w:val="24"/>
          <w:szCs w:val="24"/>
          <w:lang w:val="en-US"/>
        </w:rPr>
        <w:t>.</w:t>
      </w:r>
      <w:r w:rsidRPr="00D83B9D">
        <w:rPr>
          <w:rFonts w:ascii="Times New Roman" w:hAnsi="Times New Roman"/>
          <w:sz w:val="24"/>
          <w:szCs w:val="24"/>
        </w:rPr>
        <w:t xml:space="preserve"> </w:t>
      </w:r>
      <w:hyperlink r:id="rId6" w:tgtFrame="_blank" w:history="1">
        <w:r w:rsidRPr="00D83B9D">
          <w:rPr>
            <w:rStyle w:val="Hyperlink"/>
            <w:rFonts w:ascii="Times New Roman" w:hAnsi="Times New Roman"/>
            <w:sz w:val="24"/>
            <w:szCs w:val="24"/>
          </w:rPr>
          <w:t>https://doi.org/10.1063/5.0189167</w:t>
        </w:r>
      </w:hyperlink>
    </w:p>
    <w:p w14:paraId="74079541" w14:textId="2DFD407D" w:rsidR="003950B1" w:rsidRPr="00D83B9D" w:rsidRDefault="003950B1" w:rsidP="00D83B9D">
      <w:pPr>
        <w:spacing w:after="0" w:line="240" w:lineRule="auto"/>
        <w:rPr>
          <w:rFonts w:ascii="Times New Roman" w:hAnsi="Times New Roman"/>
          <w:sz w:val="24"/>
          <w:szCs w:val="24"/>
          <w:lang w:val="pt-PT"/>
        </w:rPr>
      </w:pPr>
      <w:r w:rsidRPr="00D83B9D">
        <w:rPr>
          <w:rFonts w:ascii="Times New Roman" w:hAnsi="Times New Roman"/>
          <w:sz w:val="24"/>
          <w:szCs w:val="24"/>
          <w:lang w:val="en-US"/>
        </w:rPr>
        <w:t xml:space="preserve">[3] D. </w:t>
      </w:r>
      <w:r w:rsidRPr="00D83B9D">
        <w:rPr>
          <w:rFonts w:ascii="Times New Roman" w:hAnsi="Times New Roman"/>
          <w:sz w:val="24"/>
          <w:szCs w:val="24"/>
        </w:rPr>
        <w:t xml:space="preserve">Narbón, </w:t>
      </w:r>
      <w:r w:rsidRPr="00D83B9D">
        <w:rPr>
          <w:rFonts w:ascii="Times New Roman" w:hAnsi="Times New Roman"/>
          <w:i/>
          <w:iCs/>
          <w:sz w:val="24"/>
          <w:szCs w:val="24"/>
          <w:lang w:val="en-US"/>
        </w:rPr>
        <w:t>et al.</w:t>
      </w:r>
      <w:r w:rsidRPr="00D83B9D">
        <w:rPr>
          <w:rFonts w:ascii="Times New Roman" w:hAnsi="Times New Roman"/>
          <w:sz w:val="24"/>
          <w:szCs w:val="24"/>
          <w:lang w:val="en-US"/>
        </w:rPr>
        <w:t xml:space="preserve">, </w:t>
      </w:r>
      <w:r w:rsidRPr="00D83B9D">
        <w:rPr>
          <w:rFonts w:ascii="Times New Roman" w:hAnsi="Times New Roman"/>
          <w:sz w:val="24"/>
          <w:szCs w:val="24"/>
        </w:rPr>
        <w:t>An ultra-low power wake-Up timer compatible with n-FET based flexible technologies</w:t>
      </w:r>
      <w:r w:rsidRPr="00D83B9D">
        <w:rPr>
          <w:rFonts w:ascii="Times New Roman" w:hAnsi="Times New Roman"/>
          <w:sz w:val="24"/>
          <w:szCs w:val="24"/>
          <w:lang w:val="en-US"/>
        </w:rPr>
        <w:t>,</w:t>
      </w:r>
      <w:r w:rsidRPr="00D83B9D">
        <w:rPr>
          <w:rFonts w:ascii="Times New Roman" w:hAnsi="Times New Roman"/>
          <w:sz w:val="24"/>
          <w:szCs w:val="24"/>
        </w:rPr>
        <w:t> </w:t>
      </w:r>
      <w:r w:rsidRPr="00D83B9D">
        <w:rPr>
          <w:rFonts w:ascii="Times New Roman" w:hAnsi="Times New Roman"/>
          <w:i/>
          <w:iCs/>
          <w:sz w:val="24"/>
          <w:szCs w:val="24"/>
        </w:rPr>
        <w:t>npj Flex Electron</w:t>
      </w:r>
      <w:r w:rsidRPr="00D83B9D">
        <w:rPr>
          <w:rFonts w:ascii="Times New Roman" w:hAnsi="Times New Roman"/>
          <w:sz w:val="24"/>
          <w:szCs w:val="24"/>
        </w:rPr>
        <w:t xml:space="preserve"> 9, 3 (2025). </w:t>
      </w:r>
      <w:hyperlink r:id="rId7" w:history="1">
        <w:r w:rsidRPr="00D83B9D">
          <w:rPr>
            <w:rStyle w:val="Hyperlink"/>
            <w:rFonts w:ascii="Times New Roman" w:hAnsi="Times New Roman"/>
            <w:sz w:val="24"/>
            <w:szCs w:val="24"/>
          </w:rPr>
          <w:t>https://doi.org/10.1038/s41528-024-00374-4</w:t>
        </w:r>
      </w:hyperlink>
      <w:r w:rsidRPr="00D83B9D">
        <w:rPr>
          <w:rFonts w:ascii="Times New Roman" w:hAnsi="Times New Roman"/>
          <w:sz w:val="24"/>
          <w:szCs w:val="24"/>
          <w:lang w:val="pt-PT"/>
        </w:rPr>
        <w:t xml:space="preserve"> </w:t>
      </w:r>
    </w:p>
    <w:sectPr w:rsidR="003950B1" w:rsidRPr="00D83B9D"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008C"/>
    <w:multiLevelType w:val="multilevel"/>
    <w:tmpl w:val="3D5C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40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2613C6"/>
    <w:rsid w:val="002A0132"/>
    <w:rsid w:val="002B1B1E"/>
    <w:rsid w:val="0031580E"/>
    <w:rsid w:val="003950B1"/>
    <w:rsid w:val="004573FD"/>
    <w:rsid w:val="0047107B"/>
    <w:rsid w:val="004B6517"/>
    <w:rsid w:val="004E0655"/>
    <w:rsid w:val="00574ABC"/>
    <w:rsid w:val="005A1240"/>
    <w:rsid w:val="005F66FB"/>
    <w:rsid w:val="00692D8F"/>
    <w:rsid w:val="00697E8A"/>
    <w:rsid w:val="00720782"/>
    <w:rsid w:val="007E067E"/>
    <w:rsid w:val="008E26FD"/>
    <w:rsid w:val="00910550"/>
    <w:rsid w:val="00963BC5"/>
    <w:rsid w:val="009A3324"/>
    <w:rsid w:val="00B14154"/>
    <w:rsid w:val="00BC3385"/>
    <w:rsid w:val="00C67C56"/>
    <w:rsid w:val="00CD2AD8"/>
    <w:rsid w:val="00D83B9D"/>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styleId="ListParagraph">
    <w:name w:val="List Paragraph"/>
    <w:basedOn w:val="Normal"/>
    <w:uiPriority w:val="34"/>
    <w:qFormat/>
    <w:rsid w:val="00315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43352">
      <w:bodyDiv w:val="1"/>
      <w:marLeft w:val="0"/>
      <w:marRight w:val="0"/>
      <w:marTop w:val="0"/>
      <w:marBottom w:val="0"/>
      <w:divBdr>
        <w:top w:val="none" w:sz="0" w:space="0" w:color="auto"/>
        <w:left w:val="none" w:sz="0" w:space="0" w:color="auto"/>
        <w:bottom w:val="none" w:sz="0" w:space="0" w:color="auto"/>
        <w:right w:val="none" w:sz="0" w:space="0" w:color="auto"/>
      </w:divBdr>
      <w:divsChild>
        <w:div w:id="524250254">
          <w:marLeft w:val="0"/>
          <w:marRight w:val="0"/>
          <w:marTop w:val="0"/>
          <w:marBottom w:val="0"/>
          <w:divBdr>
            <w:top w:val="none" w:sz="0" w:space="0" w:color="auto"/>
            <w:left w:val="none" w:sz="0" w:space="0" w:color="auto"/>
            <w:bottom w:val="none" w:sz="0" w:space="0" w:color="auto"/>
            <w:right w:val="none" w:sz="0" w:space="0" w:color="auto"/>
          </w:divBdr>
        </w:div>
        <w:div w:id="486822694">
          <w:marLeft w:val="0"/>
          <w:marRight w:val="0"/>
          <w:marTop w:val="0"/>
          <w:marBottom w:val="0"/>
          <w:divBdr>
            <w:top w:val="none" w:sz="0" w:space="0" w:color="auto"/>
            <w:left w:val="none" w:sz="0" w:space="0" w:color="auto"/>
            <w:bottom w:val="none" w:sz="0" w:space="0" w:color="auto"/>
            <w:right w:val="none" w:sz="0" w:space="0" w:color="auto"/>
          </w:divBdr>
        </w:div>
        <w:div w:id="71314301">
          <w:marLeft w:val="0"/>
          <w:marRight w:val="0"/>
          <w:marTop w:val="0"/>
          <w:marBottom w:val="0"/>
          <w:divBdr>
            <w:top w:val="none" w:sz="0" w:space="0" w:color="auto"/>
            <w:left w:val="none" w:sz="0" w:space="0" w:color="auto"/>
            <w:bottom w:val="none" w:sz="0" w:space="0" w:color="auto"/>
            <w:right w:val="none" w:sz="0" w:space="0" w:color="auto"/>
          </w:divBdr>
        </w:div>
        <w:div w:id="1972009383">
          <w:marLeft w:val="0"/>
          <w:marRight w:val="0"/>
          <w:marTop w:val="0"/>
          <w:marBottom w:val="0"/>
          <w:divBdr>
            <w:top w:val="none" w:sz="0" w:space="0" w:color="auto"/>
            <w:left w:val="none" w:sz="0" w:space="0" w:color="auto"/>
            <w:bottom w:val="none" w:sz="0" w:space="0" w:color="auto"/>
            <w:right w:val="none" w:sz="0" w:space="0" w:color="auto"/>
          </w:divBdr>
        </w:div>
        <w:div w:id="594948266">
          <w:marLeft w:val="0"/>
          <w:marRight w:val="0"/>
          <w:marTop w:val="0"/>
          <w:marBottom w:val="0"/>
          <w:divBdr>
            <w:top w:val="none" w:sz="0" w:space="0" w:color="auto"/>
            <w:left w:val="none" w:sz="0" w:space="0" w:color="auto"/>
            <w:bottom w:val="none" w:sz="0" w:space="0" w:color="auto"/>
            <w:right w:val="none" w:sz="0" w:space="0" w:color="auto"/>
          </w:divBdr>
        </w:div>
        <w:div w:id="253324332">
          <w:marLeft w:val="0"/>
          <w:marRight w:val="0"/>
          <w:marTop w:val="0"/>
          <w:marBottom w:val="0"/>
          <w:divBdr>
            <w:top w:val="none" w:sz="0" w:space="0" w:color="auto"/>
            <w:left w:val="none" w:sz="0" w:space="0" w:color="auto"/>
            <w:bottom w:val="none" w:sz="0" w:space="0" w:color="auto"/>
            <w:right w:val="none" w:sz="0" w:space="0" w:color="auto"/>
          </w:divBdr>
        </w:div>
        <w:div w:id="1907715467">
          <w:marLeft w:val="0"/>
          <w:marRight w:val="0"/>
          <w:marTop w:val="0"/>
          <w:marBottom w:val="0"/>
          <w:divBdr>
            <w:top w:val="none" w:sz="0" w:space="0" w:color="auto"/>
            <w:left w:val="none" w:sz="0" w:space="0" w:color="auto"/>
            <w:bottom w:val="none" w:sz="0" w:space="0" w:color="auto"/>
            <w:right w:val="none" w:sz="0" w:space="0" w:color="auto"/>
          </w:divBdr>
        </w:div>
        <w:div w:id="278027231">
          <w:marLeft w:val="0"/>
          <w:marRight w:val="0"/>
          <w:marTop w:val="0"/>
          <w:marBottom w:val="0"/>
          <w:divBdr>
            <w:top w:val="none" w:sz="0" w:space="0" w:color="auto"/>
            <w:left w:val="none" w:sz="0" w:space="0" w:color="auto"/>
            <w:bottom w:val="none" w:sz="0" w:space="0" w:color="auto"/>
            <w:right w:val="none" w:sz="0" w:space="0" w:color="auto"/>
          </w:divBdr>
        </w:div>
      </w:divsChild>
    </w:div>
    <w:div w:id="544830042">
      <w:bodyDiv w:val="1"/>
      <w:marLeft w:val="0"/>
      <w:marRight w:val="0"/>
      <w:marTop w:val="0"/>
      <w:marBottom w:val="0"/>
      <w:divBdr>
        <w:top w:val="none" w:sz="0" w:space="0" w:color="auto"/>
        <w:left w:val="none" w:sz="0" w:space="0" w:color="auto"/>
        <w:bottom w:val="none" w:sz="0" w:space="0" w:color="auto"/>
        <w:right w:val="none" w:sz="0" w:space="0" w:color="auto"/>
      </w:divBdr>
      <w:divsChild>
        <w:div w:id="839739033">
          <w:marLeft w:val="0"/>
          <w:marRight w:val="0"/>
          <w:marTop w:val="0"/>
          <w:marBottom w:val="0"/>
          <w:divBdr>
            <w:top w:val="none" w:sz="0" w:space="0" w:color="auto"/>
            <w:left w:val="none" w:sz="0" w:space="0" w:color="auto"/>
            <w:bottom w:val="none" w:sz="0" w:space="0" w:color="auto"/>
            <w:right w:val="none" w:sz="0" w:space="0" w:color="auto"/>
          </w:divBdr>
        </w:div>
        <w:div w:id="510873654">
          <w:marLeft w:val="0"/>
          <w:marRight w:val="0"/>
          <w:marTop w:val="0"/>
          <w:marBottom w:val="0"/>
          <w:divBdr>
            <w:top w:val="none" w:sz="0" w:space="0" w:color="auto"/>
            <w:left w:val="none" w:sz="0" w:space="0" w:color="auto"/>
            <w:bottom w:val="none" w:sz="0" w:space="0" w:color="auto"/>
            <w:right w:val="none" w:sz="0" w:space="0" w:color="auto"/>
          </w:divBdr>
        </w:div>
        <w:div w:id="1375348374">
          <w:marLeft w:val="0"/>
          <w:marRight w:val="0"/>
          <w:marTop w:val="0"/>
          <w:marBottom w:val="0"/>
          <w:divBdr>
            <w:top w:val="none" w:sz="0" w:space="0" w:color="auto"/>
            <w:left w:val="none" w:sz="0" w:space="0" w:color="auto"/>
            <w:bottom w:val="none" w:sz="0" w:space="0" w:color="auto"/>
            <w:right w:val="none" w:sz="0" w:space="0" w:color="auto"/>
          </w:divBdr>
        </w:div>
        <w:div w:id="1525512617">
          <w:marLeft w:val="0"/>
          <w:marRight w:val="0"/>
          <w:marTop w:val="0"/>
          <w:marBottom w:val="0"/>
          <w:divBdr>
            <w:top w:val="none" w:sz="0" w:space="0" w:color="auto"/>
            <w:left w:val="none" w:sz="0" w:space="0" w:color="auto"/>
            <w:bottom w:val="none" w:sz="0" w:space="0" w:color="auto"/>
            <w:right w:val="none" w:sz="0" w:space="0" w:color="auto"/>
          </w:divBdr>
        </w:div>
        <w:div w:id="1804107765">
          <w:marLeft w:val="0"/>
          <w:marRight w:val="0"/>
          <w:marTop w:val="0"/>
          <w:marBottom w:val="0"/>
          <w:divBdr>
            <w:top w:val="none" w:sz="0" w:space="0" w:color="auto"/>
            <w:left w:val="none" w:sz="0" w:space="0" w:color="auto"/>
            <w:bottom w:val="none" w:sz="0" w:space="0" w:color="auto"/>
            <w:right w:val="none" w:sz="0" w:space="0" w:color="auto"/>
          </w:divBdr>
        </w:div>
        <w:div w:id="322129692">
          <w:marLeft w:val="0"/>
          <w:marRight w:val="0"/>
          <w:marTop w:val="0"/>
          <w:marBottom w:val="0"/>
          <w:divBdr>
            <w:top w:val="none" w:sz="0" w:space="0" w:color="auto"/>
            <w:left w:val="none" w:sz="0" w:space="0" w:color="auto"/>
            <w:bottom w:val="none" w:sz="0" w:space="0" w:color="auto"/>
            <w:right w:val="none" w:sz="0" w:space="0" w:color="auto"/>
          </w:divBdr>
        </w:div>
        <w:div w:id="186335373">
          <w:marLeft w:val="0"/>
          <w:marRight w:val="0"/>
          <w:marTop w:val="0"/>
          <w:marBottom w:val="0"/>
          <w:divBdr>
            <w:top w:val="none" w:sz="0" w:space="0" w:color="auto"/>
            <w:left w:val="none" w:sz="0" w:space="0" w:color="auto"/>
            <w:bottom w:val="none" w:sz="0" w:space="0" w:color="auto"/>
            <w:right w:val="none" w:sz="0" w:space="0" w:color="auto"/>
          </w:divBdr>
        </w:div>
        <w:div w:id="2029597904">
          <w:marLeft w:val="0"/>
          <w:marRight w:val="0"/>
          <w:marTop w:val="0"/>
          <w:marBottom w:val="0"/>
          <w:divBdr>
            <w:top w:val="none" w:sz="0" w:space="0" w:color="auto"/>
            <w:left w:val="none" w:sz="0" w:space="0" w:color="auto"/>
            <w:bottom w:val="none" w:sz="0" w:space="0" w:color="auto"/>
            <w:right w:val="none" w:sz="0" w:space="0" w:color="auto"/>
          </w:divBdr>
        </w:div>
      </w:divsChild>
    </w:div>
    <w:div w:id="1025400823">
      <w:bodyDiv w:val="1"/>
      <w:marLeft w:val="0"/>
      <w:marRight w:val="0"/>
      <w:marTop w:val="0"/>
      <w:marBottom w:val="0"/>
      <w:divBdr>
        <w:top w:val="none" w:sz="0" w:space="0" w:color="auto"/>
        <w:left w:val="none" w:sz="0" w:space="0" w:color="auto"/>
        <w:bottom w:val="none" w:sz="0" w:space="0" w:color="auto"/>
        <w:right w:val="none" w:sz="0" w:space="0" w:color="auto"/>
      </w:divBdr>
    </w:div>
    <w:div w:id="166022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s41528-024-0037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63/5.0189167" TargetMode="External"/><Relationship Id="rId5" Type="http://schemas.openxmlformats.org/officeDocument/2006/relationships/hyperlink" Target="https://doi.org/10.1126/sciadv.aat18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464</Words>
  <Characters>2649</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Pedro Miguel Candido Barquinha</cp:lastModifiedBy>
  <cp:revision>4</cp:revision>
  <dcterms:created xsi:type="dcterms:W3CDTF">2025-06-02T23:43:00Z</dcterms:created>
  <dcterms:modified xsi:type="dcterms:W3CDTF">2025-06-23T21:44:00Z</dcterms:modified>
</cp:coreProperties>
</file>