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665B" w14:textId="10DE3698" w:rsidR="00172F51" w:rsidRPr="002A3D93" w:rsidRDefault="00244471" w:rsidP="00172F51">
      <w:pPr>
        <w:pStyle w:val="Default"/>
        <w:jc w:val="center"/>
        <w:rPr>
          <w:sz w:val="28"/>
          <w:szCs w:val="28"/>
          <w:lang w:val="en-US"/>
        </w:rPr>
      </w:pPr>
      <w:r>
        <w:rPr>
          <w:b/>
          <w:bCs/>
          <w:sz w:val="28"/>
          <w:szCs w:val="28"/>
          <w:lang w:val="en-US"/>
        </w:rPr>
        <w:t xml:space="preserve">Challenges </w:t>
      </w:r>
      <w:r w:rsidR="004215DB">
        <w:rPr>
          <w:b/>
          <w:bCs/>
          <w:sz w:val="28"/>
          <w:szCs w:val="28"/>
          <w:lang w:val="en-US"/>
        </w:rPr>
        <w:t xml:space="preserve">and </w:t>
      </w:r>
      <w:r w:rsidR="00246F6A">
        <w:rPr>
          <w:b/>
          <w:bCs/>
          <w:sz w:val="28"/>
          <w:szCs w:val="28"/>
          <w:lang w:val="en-US"/>
        </w:rPr>
        <w:t xml:space="preserve">perspectives in </w:t>
      </w:r>
      <w:r w:rsidR="00D76B89">
        <w:rPr>
          <w:b/>
          <w:bCs/>
          <w:sz w:val="28"/>
          <w:szCs w:val="28"/>
          <w:lang w:val="en-US"/>
        </w:rPr>
        <w:t>r-GeO</w:t>
      </w:r>
      <w:r w:rsidR="00D76B89" w:rsidRPr="00D76B89">
        <w:rPr>
          <w:b/>
          <w:bCs/>
          <w:sz w:val="28"/>
          <w:szCs w:val="28"/>
          <w:vertAlign w:val="subscript"/>
          <w:lang w:val="en-US"/>
        </w:rPr>
        <w:t>2</w:t>
      </w:r>
      <w:r w:rsidR="00B15485">
        <w:rPr>
          <w:b/>
          <w:bCs/>
          <w:sz w:val="28"/>
          <w:szCs w:val="28"/>
          <w:lang w:val="en-US"/>
        </w:rPr>
        <w:t xml:space="preserve"> </w:t>
      </w:r>
      <w:r w:rsidR="00D76B89">
        <w:rPr>
          <w:b/>
          <w:bCs/>
          <w:sz w:val="28"/>
          <w:szCs w:val="28"/>
          <w:lang w:val="en-US"/>
        </w:rPr>
        <w:t>heteroepitaxy</w:t>
      </w:r>
    </w:p>
    <w:p w14:paraId="2FF06968" w14:textId="77777777" w:rsidR="00172F51" w:rsidRDefault="00172F51" w:rsidP="00172F51">
      <w:pPr>
        <w:pStyle w:val="Default"/>
        <w:jc w:val="center"/>
        <w:rPr>
          <w:b/>
          <w:bCs/>
          <w:lang w:val="en-US"/>
        </w:rPr>
      </w:pPr>
    </w:p>
    <w:p w14:paraId="4C80842D" w14:textId="77777777" w:rsidR="00E51F77" w:rsidRPr="00B00A4B" w:rsidRDefault="00E51F77" w:rsidP="00172F51">
      <w:pPr>
        <w:pStyle w:val="Default"/>
        <w:jc w:val="center"/>
        <w:rPr>
          <w:b/>
          <w:bCs/>
          <w:lang w:val="en-US"/>
        </w:rPr>
      </w:pPr>
    </w:p>
    <w:p w14:paraId="2CE874F6" w14:textId="5F2B0D57" w:rsidR="003F3CA7" w:rsidRDefault="003F3CA7" w:rsidP="00C90883">
      <w:pPr>
        <w:spacing w:after="0" w:line="240" w:lineRule="auto"/>
        <w:jc w:val="center"/>
        <w:rPr>
          <w:rFonts w:ascii="Times New Roman" w:eastAsia="Calibri" w:hAnsi="Times New Roman"/>
          <w:vertAlign w:val="superscript"/>
          <w:lang w:val="it-IT"/>
        </w:rPr>
      </w:pPr>
      <w:r w:rsidRPr="004A3505">
        <w:rPr>
          <w:rFonts w:ascii="Times New Roman" w:eastAsia="Calibri" w:hAnsi="Times New Roman"/>
          <w:lang w:val="it-IT"/>
        </w:rPr>
        <w:t>G. Cicconi,</w:t>
      </w:r>
      <w:r w:rsidR="00641248" w:rsidRPr="004A3505">
        <w:rPr>
          <w:rFonts w:ascii="Times New Roman" w:eastAsia="Calibri" w:hAnsi="Times New Roman"/>
          <w:vertAlign w:val="superscript"/>
          <w:lang w:val="it-IT"/>
        </w:rPr>
        <w:t>1</w:t>
      </w:r>
      <w:r w:rsidRPr="00F83599">
        <w:rPr>
          <w:rFonts w:ascii="Times New Roman" w:eastAsia="Calibri" w:hAnsi="Times New Roman"/>
          <w:lang w:val="it-IT"/>
        </w:rPr>
        <w:t xml:space="preserve"> M. Bosi,</w:t>
      </w:r>
      <w:r w:rsidR="00641248" w:rsidRPr="00F83599">
        <w:rPr>
          <w:rFonts w:ascii="Times New Roman" w:eastAsia="Calibri" w:hAnsi="Times New Roman"/>
          <w:vertAlign w:val="superscript"/>
          <w:lang w:val="it-IT"/>
        </w:rPr>
        <w:t>2</w:t>
      </w:r>
      <w:r w:rsidRPr="00F83599">
        <w:rPr>
          <w:rFonts w:ascii="Times New Roman" w:eastAsia="Calibri" w:hAnsi="Times New Roman"/>
          <w:lang w:val="it-IT"/>
        </w:rPr>
        <w:t xml:space="preserve"> </w:t>
      </w:r>
      <w:r w:rsidR="00641248" w:rsidRPr="00F83599">
        <w:rPr>
          <w:rFonts w:ascii="Times New Roman" w:eastAsia="Calibri" w:hAnsi="Times New Roman"/>
          <w:lang w:val="it-IT"/>
        </w:rPr>
        <w:t>F. Mezzadri,</w:t>
      </w:r>
      <w:r w:rsidR="00641248" w:rsidRPr="00641248">
        <w:rPr>
          <w:rFonts w:ascii="Times New Roman" w:eastAsia="Calibri" w:hAnsi="Times New Roman"/>
          <w:vertAlign w:val="superscript"/>
          <w:lang w:val="it-IT"/>
        </w:rPr>
        <w:t xml:space="preserve"> </w:t>
      </w:r>
      <w:r w:rsidR="00641248" w:rsidRPr="00F83599">
        <w:rPr>
          <w:rFonts w:ascii="Times New Roman" w:eastAsia="Calibri" w:hAnsi="Times New Roman"/>
          <w:vertAlign w:val="superscript"/>
          <w:lang w:val="it-IT"/>
        </w:rPr>
        <w:t>3</w:t>
      </w:r>
      <w:r w:rsidR="00641248" w:rsidRPr="00641248">
        <w:rPr>
          <w:rFonts w:ascii="Times New Roman" w:eastAsia="Calibri" w:hAnsi="Times New Roman"/>
          <w:lang w:val="it-IT"/>
        </w:rPr>
        <w:t xml:space="preserve"> </w:t>
      </w:r>
      <w:r w:rsidR="00641248" w:rsidRPr="00F83599">
        <w:rPr>
          <w:rFonts w:ascii="Times New Roman" w:eastAsia="Calibri" w:hAnsi="Times New Roman"/>
          <w:lang w:val="it-IT"/>
        </w:rPr>
        <w:t>A. Ugolotti,</w:t>
      </w:r>
      <w:r w:rsidR="00D363F1">
        <w:rPr>
          <w:rFonts w:ascii="Times New Roman" w:eastAsia="Calibri" w:hAnsi="Times New Roman"/>
          <w:vertAlign w:val="superscript"/>
          <w:lang w:val="it-IT"/>
        </w:rPr>
        <w:t>4</w:t>
      </w:r>
      <w:r w:rsidR="00641248" w:rsidRPr="00F83599">
        <w:rPr>
          <w:rFonts w:ascii="Times New Roman" w:eastAsia="Calibri" w:hAnsi="Times New Roman"/>
          <w:lang w:val="it-IT"/>
        </w:rPr>
        <w:t xml:space="preserve"> L. Miglio,</w:t>
      </w:r>
      <w:r w:rsidR="00D363F1">
        <w:rPr>
          <w:rFonts w:ascii="Times New Roman" w:eastAsia="Calibri" w:hAnsi="Times New Roman"/>
          <w:vertAlign w:val="superscript"/>
          <w:lang w:val="it-IT"/>
        </w:rPr>
        <w:t>4</w:t>
      </w:r>
      <w:r w:rsidR="00641248" w:rsidRPr="00641248">
        <w:rPr>
          <w:rFonts w:ascii="Times New Roman" w:eastAsia="Calibri" w:hAnsi="Times New Roman"/>
          <w:lang w:val="it-IT"/>
        </w:rPr>
        <w:t xml:space="preserve"> </w:t>
      </w:r>
      <w:r w:rsidR="00745527">
        <w:rPr>
          <w:rFonts w:ascii="Times New Roman" w:eastAsia="Calibri" w:hAnsi="Times New Roman"/>
          <w:lang w:val="it-IT"/>
        </w:rPr>
        <w:t>I</w:t>
      </w:r>
      <w:r w:rsidR="00641248" w:rsidRPr="00F83599">
        <w:rPr>
          <w:rFonts w:ascii="Times New Roman" w:eastAsia="Calibri" w:hAnsi="Times New Roman"/>
          <w:lang w:val="it-IT"/>
        </w:rPr>
        <w:t xml:space="preserve">. </w:t>
      </w:r>
      <w:r w:rsidR="00745527">
        <w:rPr>
          <w:rFonts w:ascii="Times New Roman" w:eastAsia="Calibri" w:hAnsi="Times New Roman"/>
          <w:lang w:val="it-IT"/>
        </w:rPr>
        <w:t>Cora</w:t>
      </w:r>
      <w:r w:rsidR="00641248" w:rsidRPr="00F83599">
        <w:rPr>
          <w:rFonts w:ascii="Times New Roman" w:eastAsia="Calibri" w:hAnsi="Times New Roman"/>
          <w:lang w:val="it-IT"/>
        </w:rPr>
        <w:t>,</w:t>
      </w:r>
      <w:r w:rsidR="00D363F1">
        <w:rPr>
          <w:rFonts w:ascii="Times New Roman" w:eastAsia="Calibri" w:hAnsi="Times New Roman"/>
          <w:vertAlign w:val="superscript"/>
          <w:lang w:val="it-IT"/>
        </w:rPr>
        <w:t>5</w:t>
      </w:r>
      <w:r w:rsidR="00641248" w:rsidRPr="00F83599">
        <w:rPr>
          <w:rFonts w:ascii="Times New Roman" w:eastAsia="Calibri" w:hAnsi="Times New Roman"/>
          <w:lang w:val="it-IT"/>
        </w:rPr>
        <w:t xml:space="preserve"> </w:t>
      </w:r>
      <w:r w:rsidRPr="00F83599">
        <w:rPr>
          <w:rFonts w:ascii="Times New Roman" w:eastAsia="Calibri" w:hAnsi="Times New Roman"/>
          <w:lang w:val="it-IT"/>
        </w:rPr>
        <w:t>L. Seravalli,</w:t>
      </w:r>
      <w:r w:rsidR="00641248" w:rsidRPr="00F83599">
        <w:rPr>
          <w:rFonts w:ascii="Times New Roman" w:eastAsia="Calibri" w:hAnsi="Times New Roman"/>
          <w:vertAlign w:val="superscript"/>
          <w:lang w:val="it-IT"/>
        </w:rPr>
        <w:t>2</w:t>
      </w:r>
      <w:r w:rsidRPr="00F83599">
        <w:rPr>
          <w:rFonts w:ascii="Times New Roman" w:eastAsia="Calibri" w:hAnsi="Times New Roman"/>
          <w:lang w:val="it-IT"/>
        </w:rPr>
        <w:t xml:space="preserve"> H. Tornatzky,</w:t>
      </w:r>
      <w:r w:rsidR="00D363F1">
        <w:rPr>
          <w:rFonts w:ascii="Times New Roman" w:eastAsia="Calibri" w:hAnsi="Times New Roman"/>
          <w:vertAlign w:val="superscript"/>
          <w:lang w:val="it-IT"/>
        </w:rPr>
        <w:t>6</w:t>
      </w:r>
      <w:r w:rsidRPr="00F83599">
        <w:rPr>
          <w:rFonts w:ascii="Times New Roman" w:eastAsia="Calibri" w:hAnsi="Times New Roman"/>
          <w:lang w:val="it-IT"/>
        </w:rPr>
        <w:t xml:space="preserve"> J. Lähnemann,</w:t>
      </w:r>
      <w:r w:rsidR="00D363F1">
        <w:rPr>
          <w:rFonts w:ascii="Times New Roman" w:eastAsia="Calibri" w:hAnsi="Times New Roman"/>
          <w:vertAlign w:val="superscript"/>
          <w:lang w:val="it-IT"/>
        </w:rPr>
        <w:t>6</w:t>
      </w:r>
      <w:r w:rsidR="003E0DD9">
        <w:rPr>
          <w:rFonts w:ascii="Times New Roman" w:eastAsia="Calibri" w:hAnsi="Times New Roman"/>
          <w:vertAlign w:val="superscript"/>
          <w:lang w:val="it-IT"/>
        </w:rPr>
        <w:t xml:space="preserve"> </w:t>
      </w:r>
      <w:r w:rsidRPr="00F83599">
        <w:rPr>
          <w:rFonts w:ascii="Times New Roman" w:eastAsia="Calibri" w:hAnsi="Times New Roman"/>
          <w:lang w:val="it-IT"/>
        </w:rPr>
        <w:t>M. Wagner,</w:t>
      </w:r>
      <w:r w:rsidR="00D363F1">
        <w:rPr>
          <w:rFonts w:ascii="Times New Roman" w:eastAsia="Calibri" w:hAnsi="Times New Roman"/>
          <w:vertAlign w:val="superscript"/>
          <w:lang w:val="it-IT"/>
        </w:rPr>
        <w:t>6</w:t>
      </w:r>
      <w:r w:rsidRPr="00F83599">
        <w:rPr>
          <w:rFonts w:ascii="Times New Roman" w:eastAsia="Calibri" w:hAnsi="Times New Roman"/>
          <w:lang w:val="it-IT"/>
        </w:rPr>
        <w:t xml:space="preserve"> </w:t>
      </w:r>
      <w:r w:rsidR="00C02ACE">
        <w:rPr>
          <w:rFonts w:ascii="Times New Roman" w:eastAsia="Calibri" w:hAnsi="Times New Roman"/>
          <w:lang w:val="it-IT"/>
        </w:rPr>
        <w:t>W.</w:t>
      </w:r>
      <w:r w:rsidR="00C14B67">
        <w:rPr>
          <w:rFonts w:ascii="Times New Roman" w:eastAsia="Calibri" w:hAnsi="Times New Roman"/>
          <w:lang w:val="it-IT"/>
        </w:rPr>
        <w:t xml:space="preserve"> Chen,</w:t>
      </w:r>
      <w:r w:rsidR="00D363F1">
        <w:rPr>
          <w:rFonts w:ascii="Times New Roman" w:eastAsia="Calibri" w:hAnsi="Times New Roman"/>
          <w:vertAlign w:val="superscript"/>
          <w:lang w:val="it-IT"/>
        </w:rPr>
        <w:t>6</w:t>
      </w:r>
      <w:r w:rsidR="00C14B67">
        <w:rPr>
          <w:rFonts w:ascii="Times New Roman" w:eastAsia="Calibri" w:hAnsi="Times New Roman"/>
          <w:lang w:val="it-IT"/>
        </w:rPr>
        <w:t xml:space="preserve"> O. Bierwagen,</w:t>
      </w:r>
      <w:r w:rsidR="00D363F1">
        <w:rPr>
          <w:rFonts w:ascii="Times New Roman" w:eastAsia="Calibri" w:hAnsi="Times New Roman"/>
          <w:vertAlign w:val="superscript"/>
          <w:lang w:val="it-IT"/>
        </w:rPr>
        <w:t>6</w:t>
      </w:r>
      <w:r w:rsidR="00C14B67">
        <w:rPr>
          <w:rFonts w:ascii="Times New Roman" w:eastAsia="Calibri" w:hAnsi="Times New Roman"/>
          <w:lang w:val="it-IT"/>
        </w:rPr>
        <w:t xml:space="preserve"> </w:t>
      </w:r>
      <w:r w:rsidRPr="00F83599">
        <w:rPr>
          <w:rFonts w:ascii="Times New Roman" w:eastAsia="Calibri" w:hAnsi="Times New Roman"/>
          <w:lang w:val="it-IT"/>
        </w:rPr>
        <w:t>P. Bhatt,</w:t>
      </w:r>
      <w:r w:rsidR="00FF27C6">
        <w:rPr>
          <w:rFonts w:ascii="Times New Roman" w:eastAsia="Calibri" w:hAnsi="Times New Roman"/>
          <w:vertAlign w:val="superscript"/>
          <w:lang w:val="it-IT"/>
        </w:rPr>
        <w:t>7</w:t>
      </w:r>
      <w:r w:rsidRPr="00F83599">
        <w:rPr>
          <w:rFonts w:ascii="Times New Roman" w:eastAsia="Calibri" w:hAnsi="Times New Roman"/>
          <w:lang w:val="it-IT"/>
        </w:rPr>
        <w:t xml:space="preserve"> A.</w:t>
      </w:r>
      <w:r w:rsidR="004A3505">
        <w:rPr>
          <w:rFonts w:ascii="Times New Roman" w:eastAsia="Calibri" w:hAnsi="Times New Roman"/>
          <w:lang w:val="it-IT"/>
        </w:rPr>
        <w:t xml:space="preserve"> </w:t>
      </w:r>
      <w:r w:rsidRPr="00F83599">
        <w:rPr>
          <w:rFonts w:ascii="Times New Roman" w:eastAsia="Calibri" w:hAnsi="Times New Roman"/>
          <w:lang w:val="it-IT"/>
        </w:rPr>
        <w:t>Regoutz,</w:t>
      </w:r>
      <w:r w:rsidR="00FF27C6">
        <w:rPr>
          <w:rFonts w:ascii="Times New Roman" w:eastAsia="Calibri" w:hAnsi="Times New Roman"/>
          <w:vertAlign w:val="superscript"/>
          <w:lang w:val="it-IT"/>
        </w:rPr>
        <w:t>7</w:t>
      </w:r>
      <w:r w:rsidR="003E0DD9" w:rsidRPr="003E0DD9">
        <w:rPr>
          <w:rFonts w:ascii="Times New Roman" w:eastAsia="Calibri" w:hAnsi="Times New Roman"/>
          <w:lang w:val="it-IT"/>
        </w:rPr>
        <w:t xml:space="preserve"> </w:t>
      </w:r>
      <w:r w:rsidRPr="00F83599">
        <w:rPr>
          <w:rFonts w:ascii="Times New Roman" w:eastAsia="Calibri" w:hAnsi="Times New Roman"/>
          <w:lang w:val="it-IT"/>
        </w:rPr>
        <w:t>A. Baraldi,</w:t>
      </w:r>
      <w:r w:rsidR="000C16E4" w:rsidRPr="00F83599">
        <w:rPr>
          <w:rFonts w:ascii="Times New Roman" w:eastAsia="Calibri" w:hAnsi="Times New Roman"/>
          <w:vertAlign w:val="superscript"/>
          <w:lang w:val="it-IT"/>
        </w:rPr>
        <w:t>1</w:t>
      </w:r>
      <w:r w:rsidR="000C16E4" w:rsidRPr="000C16E4">
        <w:rPr>
          <w:rFonts w:ascii="Times New Roman" w:eastAsia="Calibri" w:hAnsi="Times New Roman"/>
          <w:lang w:val="it-IT"/>
        </w:rPr>
        <w:t xml:space="preserve"> </w:t>
      </w:r>
      <w:r w:rsidRPr="00F83599">
        <w:rPr>
          <w:rFonts w:ascii="Times New Roman" w:eastAsia="Calibri" w:hAnsi="Times New Roman"/>
          <w:lang w:val="it-IT"/>
        </w:rPr>
        <w:t>A. Parisini,</w:t>
      </w:r>
      <w:r w:rsidR="000C16E4" w:rsidRPr="00F83599">
        <w:rPr>
          <w:rFonts w:ascii="Times New Roman" w:eastAsia="Calibri" w:hAnsi="Times New Roman"/>
          <w:vertAlign w:val="superscript"/>
          <w:lang w:val="it-IT"/>
        </w:rPr>
        <w:t>1</w:t>
      </w:r>
      <w:r w:rsidR="000C16E4" w:rsidRPr="000C16E4">
        <w:rPr>
          <w:rFonts w:ascii="Times New Roman" w:eastAsia="Calibri" w:hAnsi="Times New Roman"/>
          <w:lang w:val="it-IT"/>
        </w:rPr>
        <w:t xml:space="preserve"> </w:t>
      </w:r>
      <w:r w:rsidRPr="00F83599">
        <w:rPr>
          <w:rFonts w:ascii="Times New Roman" w:eastAsia="Calibri" w:hAnsi="Times New Roman"/>
          <w:lang w:val="it-IT"/>
        </w:rPr>
        <w:t>R. Fornari</w:t>
      </w:r>
      <w:r w:rsidR="000C16E4">
        <w:rPr>
          <w:rFonts w:ascii="Times New Roman" w:eastAsia="Calibri" w:hAnsi="Times New Roman"/>
          <w:lang w:val="it-IT"/>
        </w:rPr>
        <w:t>,</w:t>
      </w:r>
      <w:r w:rsidR="000C16E4" w:rsidRPr="00F83599">
        <w:rPr>
          <w:rFonts w:ascii="Times New Roman" w:eastAsia="Calibri" w:hAnsi="Times New Roman"/>
          <w:vertAlign w:val="superscript"/>
          <w:lang w:val="it-IT"/>
        </w:rPr>
        <w:t>1,2</w:t>
      </w:r>
      <w:r w:rsidR="000C16E4">
        <w:rPr>
          <w:rFonts w:ascii="Times New Roman" w:eastAsia="Calibri" w:hAnsi="Times New Roman"/>
          <w:lang w:val="it-IT"/>
        </w:rPr>
        <w:t xml:space="preserve"> </w:t>
      </w:r>
      <w:r w:rsidRPr="004A3505">
        <w:rPr>
          <w:rFonts w:ascii="Times New Roman" w:eastAsia="Calibri" w:hAnsi="Times New Roman"/>
          <w:u w:val="single"/>
          <w:lang w:val="it-IT"/>
        </w:rPr>
        <w:t>P.</w:t>
      </w:r>
      <w:r w:rsidR="00C90883">
        <w:rPr>
          <w:rFonts w:ascii="Times New Roman" w:eastAsia="Calibri" w:hAnsi="Times New Roman"/>
          <w:u w:val="single"/>
          <w:lang w:val="it-IT"/>
        </w:rPr>
        <w:t xml:space="preserve"> </w:t>
      </w:r>
      <w:r w:rsidRPr="004A3505">
        <w:rPr>
          <w:rFonts w:ascii="Times New Roman" w:eastAsia="Calibri" w:hAnsi="Times New Roman"/>
          <w:u w:val="single"/>
          <w:lang w:val="it-IT"/>
        </w:rPr>
        <w:t>Mazzolini</w:t>
      </w:r>
      <w:r w:rsidRPr="00F83599">
        <w:rPr>
          <w:rFonts w:ascii="Times New Roman" w:eastAsia="Calibri" w:hAnsi="Times New Roman"/>
          <w:vertAlign w:val="superscript"/>
          <w:lang w:val="it-IT"/>
        </w:rPr>
        <w:t xml:space="preserve"> 1,2</w:t>
      </w:r>
    </w:p>
    <w:p w14:paraId="2AE6600D" w14:textId="77777777" w:rsidR="00C90883" w:rsidRPr="00F83599" w:rsidRDefault="00C90883" w:rsidP="00C90883">
      <w:pPr>
        <w:spacing w:after="0" w:line="240" w:lineRule="auto"/>
        <w:jc w:val="center"/>
        <w:rPr>
          <w:rFonts w:ascii="Times New Roman" w:eastAsia="Calibri" w:hAnsi="Times New Roman"/>
          <w:lang w:val="it-IT"/>
        </w:rPr>
      </w:pPr>
    </w:p>
    <w:p w14:paraId="6CDBCBC5" w14:textId="77777777" w:rsidR="003F3CA7" w:rsidRPr="003F3CA7" w:rsidRDefault="003F3CA7" w:rsidP="00E51F77">
      <w:pPr>
        <w:spacing w:after="80" w:line="240" w:lineRule="auto"/>
        <w:contextualSpacing/>
        <w:jc w:val="center"/>
        <w:rPr>
          <w:rFonts w:ascii="Times New Roman" w:eastAsia="Calibri" w:hAnsi="Times New Roman"/>
          <w:i/>
          <w:lang w:val="en-GB"/>
        </w:rPr>
      </w:pPr>
      <w:r w:rsidRPr="003F3CA7">
        <w:rPr>
          <w:rFonts w:ascii="Times New Roman" w:eastAsia="Calibri" w:hAnsi="Times New Roman"/>
          <w:i/>
          <w:vertAlign w:val="superscript"/>
          <w:lang w:val="en-GB"/>
        </w:rPr>
        <w:t>1</w:t>
      </w:r>
      <w:r w:rsidRPr="003F3CA7">
        <w:rPr>
          <w:rFonts w:ascii="Times New Roman" w:eastAsia="Calibri" w:hAnsi="Times New Roman"/>
          <w:i/>
          <w:lang w:val="en-GB"/>
        </w:rPr>
        <w:t xml:space="preserve"> Department of Mathematical, Physical and Computer Science, University of Parma, Italy</w:t>
      </w:r>
    </w:p>
    <w:p w14:paraId="47252C91" w14:textId="77777777" w:rsidR="003F3CA7" w:rsidRPr="003F3CA7" w:rsidRDefault="003F3CA7" w:rsidP="00E51F77">
      <w:pPr>
        <w:spacing w:after="80" w:line="240" w:lineRule="auto"/>
        <w:contextualSpacing/>
        <w:jc w:val="center"/>
        <w:rPr>
          <w:rFonts w:ascii="Times New Roman" w:eastAsia="Calibri" w:hAnsi="Times New Roman"/>
          <w:i/>
          <w:lang w:val="en-GB"/>
        </w:rPr>
      </w:pPr>
      <w:r w:rsidRPr="003F3CA7">
        <w:rPr>
          <w:rFonts w:ascii="Times New Roman" w:eastAsia="Calibri" w:hAnsi="Times New Roman"/>
          <w:i/>
          <w:vertAlign w:val="superscript"/>
          <w:lang w:val="en-GB"/>
        </w:rPr>
        <w:t>2</w:t>
      </w:r>
      <w:r w:rsidRPr="003F3CA7">
        <w:rPr>
          <w:rFonts w:ascii="Times New Roman" w:eastAsia="Calibri" w:hAnsi="Times New Roman"/>
          <w:i/>
          <w:lang w:val="en-GB"/>
        </w:rPr>
        <w:t xml:space="preserve"> IMEM-CNR, Parma, Italy</w:t>
      </w:r>
    </w:p>
    <w:p w14:paraId="4F82BA07" w14:textId="77777777" w:rsidR="00136988" w:rsidRDefault="003F3CA7" w:rsidP="00E51F77">
      <w:pPr>
        <w:spacing w:after="80" w:line="240" w:lineRule="auto"/>
        <w:jc w:val="center"/>
        <w:rPr>
          <w:rFonts w:ascii="Times New Roman" w:eastAsia="Calibri" w:hAnsi="Times New Roman"/>
          <w:i/>
          <w:lang w:val="en-GB"/>
        </w:rPr>
      </w:pPr>
      <w:r w:rsidRPr="003F3CA7">
        <w:rPr>
          <w:rFonts w:ascii="Times New Roman" w:eastAsia="Calibri" w:hAnsi="Times New Roman"/>
          <w:i/>
          <w:vertAlign w:val="superscript"/>
          <w:lang w:val="en-GB"/>
        </w:rPr>
        <w:t>3</w:t>
      </w:r>
      <w:r w:rsidRPr="003F3CA7">
        <w:rPr>
          <w:rFonts w:ascii="Times New Roman" w:eastAsia="Calibri" w:hAnsi="Times New Roman"/>
          <w:i/>
          <w:lang w:val="en-GB"/>
        </w:rPr>
        <w:t xml:space="preserve"> Department of Chemical, Life and Environmental Sustainability Sciences, University of Parma, Italy</w:t>
      </w:r>
    </w:p>
    <w:p w14:paraId="705B4508" w14:textId="07AE947A" w:rsidR="00842355" w:rsidRPr="00136988" w:rsidRDefault="00842355" w:rsidP="00E51F77">
      <w:pPr>
        <w:spacing w:after="80" w:line="240" w:lineRule="auto"/>
        <w:jc w:val="center"/>
        <w:rPr>
          <w:rFonts w:ascii="Times New Roman" w:eastAsia="Calibri" w:hAnsi="Times New Roman"/>
          <w:i/>
          <w:lang w:val="en-GB"/>
        </w:rPr>
      </w:pPr>
      <w:r>
        <w:rPr>
          <w:rFonts w:ascii="Times New Roman" w:eastAsia="Calibri" w:hAnsi="Times New Roman"/>
          <w:i/>
          <w:iCs/>
          <w:vertAlign w:val="superscript"/>
          <w:lang w:val="en-GB"/>
        </w:rPr>
        <w:t>4</w:t>
      </w:r>
      <w:r w:rsidR="00DC22C1" w:rsidRPr="003F3CA7">
        <w:rPr>
          <w:rFonts w:ascii="Times New Roman" w:eastAsia="Calibri" w:hAnsi="Times New Roman"/>
          <w:i/>
          <w:iCs/>
          <w:lang w:val="en-GB"/>
        </w:rPr>
        <w:t xml:space="preserve"> Department of Materials Science, University of Milano Bicocca, Italy</w:t>
      </w:r>
    </w:p>
    <w:p w14:paraId="437EA396" w14:textId="7B3AF48E" w:rsidR="00842355" w:rsidRPr="003F3CA7" w:rsidRDefault="00136988" w:rsidP="00E51F77">
      <w:pPr>
        <w:spacing w:after="80" w:line="240" w:lineRule="auto"/>
        <w:contextualSpacing/>
        <w:jc w:val="center"/>
        <w:rPr>
          <w:rFonts w:ascii="Times New Roman" w:hAnsi="Times New Roman"/>
          <w:i/>
          <w:iCs/>
          <w:lang w:val="en-GB"/>
        </w:rPr>
      </w:pPr>
      <w:r>
        <w:rPr>
          <w:rFonts w:ascii="Times New Roman" w:eastAsia="Calibri" w:hAnsi="Times New Roman"/>
          <w:i/>
          <w:iCs/>
          <w:vertAlign w:val="superscript"/>
          <w:lang w:val="en-GB"/>
        </w:rPr>
        <w:t>5</w:t>
      </w:r>
      <w:r w:rsidR="00842355" w:rsidRPr="003F3CA7">
        <w:rPr>
          <w:rFonts w:ascii="Times New Roman" w:eastAsia="Calibri" w:hAnsi="Times New Roman"/>
          <w:i/>
          <w:iCs/>
          <w:vertAlign w:val="superscript"/>
          <w:lang w:val="en-GB"/>
        </w:rPr>
        <w:t xml:space="preserve"> </w:t>
      </w:r>
      <w:r w:rsidR="00842355" w:rsidRPr="003F3CA7">
        <w:rPr>
          <w:rFonts w:ascii="Times New Roman" w:hAnsi="Times New Roman"/>
          <w:i/>
          <w:iCs/>
          <w:lang w:val="en-GB"/>
        </w:rPr>
        <w:t>Institute of Technical Physics and Materials Science, Centre for Energy Research, Hungarian Academy of Sciences</w:t>
      </w:r>
    </w:p>
    <w:p w14:paraId="3B0061DE" w14:textId="56FDA88F" w:rsidR="003F3CA7" w:rsidRPr="003F3CA7" w:rsidRDefault="00D363F1" w:rsidP="00E51F77">
      <w:pPr>
        <w:spacing w:after="80" w:line="240" w:lineRule="auto"/>
        <w:jc w:val="center"/>
        <w:rPr>
          <w:rFonts w:ascii="Times New Roman" w:eastAsia="Calibri" w:hAnsi="Times New Roman"/>
          <w:i/>
          <w:lang w:val="en-GB"/>
        </w:rPr>
      </w:pPr>
      <w:r>
        <w:rPr>
          <w:rFonts w:ascii="Times New Roman" w:eastAsia="Calibri" w:hAnsi="Times New Roman"/>
          <w:i/>
          <w:vertAlign w:val="superscript"/>
          <w:lang w:val="en-GB"/>
        </w:rPr>
        <w:t>6</w:t>
      </w:r>
      <w:r w:rsidR="003F3CA7" w:rsidRPr="003F3CA7">
        <w:rPr>
          <w:rFonts w:ascii="Times New Roman" w:eastAsia="Calibri" w:hAnsi="Times New Roman"/>
          <w:i/>
          <w:lang w:val="en-GB"/>
        </w:rPr>
        <w:t xml:space="preserve"> Paul Drude Institut für Festkörperelektronik, Berlin, Germany</w:t>
      </w:r>
    </w:p>
    <w:p w14:paraId="18B74A1B" w14:textId="76CCF063" w:rsidR="003F3CA7" w:rsidRPr="003F3CA7" w:rsidRDefault="00D363F1" w:rsidP="00E51F77">
      <w:pPr>
        <w:spacing w:after="80" w:line="240" w:lineRule="auto"/>
        <w:contextualSpacing/>
        <w:jc w:val="center"/>
        <w:rPr>
          <w:rFonts w:ascii="Times New Roman" w:eastAsia="Calibri" w:hAnsi="Times New Roman"/>
          <w:i/>
          <w:lang w:val="en-GB"/>
        </w:rPr>
      </w:pPr>
      <w:r>
        <w:rPr>
          <w:rFonts w:ascii="Times New Roman" w:eastAsia="Calibri" w:hAnsi="Times New Roman"/>
          <w:i/>
          <w:iCs/>
          <w:vertAlign w:val="superscript"/>
          <w:lang w:val="en-GB"/>
        </w:rPr>
        <w:t>7</w:t>
      </w:r>
      <w:r w:rsidR="003F3CA7" w:rsidRPr="003F3CA7">
        <w:rPr>
          <w:rFonts w:ascii="Times New Roman" w:eastAsia="Calibri" w:hAnsi="Times New Roman"/>
          <w:i/>
          <w:iCs/>
          <w:lang w:val="en-GB"/>
        </w:rPr>
        <w:t xml:space="preserve"> Department of Chemistry, University of Oxford, United Kingdom</w:t>
      </w:r>
    </w:p>
    <w:p w14:paraId="536DF3AA" w14:textId="77777777" w:rsidR="00172F51" w:rsidRPr="003F3CA7" w:rsidRDefault="00172F51" w:rsidP="00172F51">
      <w:pPr>
        <w:pStyle w:val="Default"/>
        <w:jc w:val="center"/>
        <w:rPr>
          <w:i/>
          <w:iCs/>
          <w:sz w:val="22"/>
          <w:szCs w:val="22"/>
          <w:lang w:val="en-GB"/>
        </w:rPr>
      </w:pPr>
    </w:p>
    <w:p w14:paraId="3C299BA5" w14:textId="77777777" w:rsidR="00172F51" w:rsidRPr="00B00A4B" w:rsidRDefault="00172F51" w:rsidP="00172F51">
      <w:pPr>
        <w:pStyle w:val="Default"/>
        <w:jc w:val="center"/>
        <w:rPr>
          <w:sz w:val="22"/>
          <w:szCs w:val="22"/>
          <w:lang w:val="en-US"/>
        </w:rPr>
      </w:pPr>
    </w:p>
    <w:p w14:paraId="1033DB1E" w14:textId="266F7CC2" w:rsidR="00D344EB" w:rsidRDefault="009675ED" w:rsidP="00172F51">
      <w:pPr>
        <w:pStyle w:val="Default"/>
        <w:jc w:val="both"/>
        <w:rPr>
          <w:lang w:val="en-US"/>
        </w:rPr>
      </w:pPr>
      <w:r>
        <w:rPr>
          <w:lang w:val="en-US"/>
        </w:rPr>
        <w:t>The ultra</w:t>
      </w:r>
      <w:r w:rsidR="008178D0">
        <w:rPr>
          <w:lang w:val="en-US"/>
        </w:rPr>
        <w:t>-wide bandgap semiconductor r</w:t>
      </w:r>
      <w:r w:rsidR="009E4827">
        <w:rPr>
          <w:lang w:val="en-US"/>
        </w:rPr>
        <w:t>utile germanium oxide</w:t>
      </w:r>
      <w:r w:rsidR="008178D0">
        <w:rPr>
          <w:lang w:val="en-US"/>
        </w:rPr>
        <w:t xml:space="preserve"> (E</w:t>
      </w:r>
      <w:r w:rsidR="008178D0" w:rsidRPr="008178D0">
        <w:rPr>
          <w:vertAlign w:val="subscript"/>
          <w:lang w:val="en-US"/>
        </w:rPr>
        <w:t>g</w:t>
      </w:r>
      <w:r w:rsidR="008178D0">
        <w:rPr>
          <w:lang w:val="en-US"/>
        </w:rPr>
        <w:t xml:space="preserve"> = 4.6 eV)</w:t>
      </w:r>
      <w:r w:rsidR="009E4827">
        <w:rPr>
          <w:lang w:val="en-US"/>
        </w:rPr>
        <w:t xml:space="preserve"> </w:t>
      </w:r>
      <w:r w:rsidR="00636D90">
        <w:rPr>
          <w:lang w:val="en-US"/>
        </w:rPr>
        <w:t xml:space="preserve">has </w:t>
      </w:r>
      <w:r w:rsidR="008166DE">
        <w:rPr>
          <w:lang w:val="en-US"/>
        </w:rPr>
        <w:t xml:space="preserve">the potential to rapidly become </w:t>
      </w:r>
      <w:r w:rsidR="00636D90">
        <w:rPr>
          <w:lang w:val="en-US"/>
        </w:rPr>
        <w:t xml:space="preserve">the new big </w:t>
      </w:r>
      <w:r w:rsidR="0050523A">
        <w:rPr>
          <w:lang w:val="en-US"/>
        </w:rPr>
        <w:t xml:space="preserve">actor </w:t>
      </w:r>
      <w:r w:rsidR="00120FF3">
        <w:rPr>
          <w:lang w:val="en-US"/>
        </w:rPr>
        <w:t>in the field</w:t>
      </w:r>
      <w:r w:rsidR="0050523A">
        <w:rPr>
          <w:lang w:val="en-US"/>
        </w:rPr>
        <w:t xml:space="preserve"> of power electronics.</w:t>
      </w:r>
      <w:r w:rsidR="0062499B">
        <w:rPr>
          <w:lang w:val="en-US"/>
        </w:rPr>
        <w:fldChar w:fldCharType="begin"/>
      </w:r>
      <w:r w:rsidR="00E40B44">
        <w:rPr>
          <w:lang w:val="en-US"/>
        </w:rPr>
        <w:instrText xml:space="preserve"> ADDIN ZOTERO_ITEM CSL_CITATION {"citationID":"zdp2UbUc","properties":{"formattedCitation":"\\super [1]\\nosupersub{}","plainCitation":"[1]","noteIndex":0},"citationItems":[{"id":8605,"uris":["http://zotero.org/users/6777009/items/USQDZFUT"],"itemData":{"id":8605,"type":"article-journal","container-title":"Applied Physics Letters","DOI":"10.1063/1.5088370","ISSN":"0003-6951","issue":"10","journalAbbreviation":"Appl. Phys. Lett.","note":"publisher: American Institute of Physics","page":"102104","title":"Rutile GeO2: An ultrawide-band-gap semiconductor with ambipolar doping","volume":"114","author":[{"family":"Chae","given":"S."},{"family":"Lee","given":"J."},{"family":"Mengle","given":"K. A."},{"family":"Heron","given":"J. T."},{"family":"Kioupakis","given":"E."}],"issued":{"date-parts":[["2019",3,11]]}}}],"schema":"https://github.com/citation-style-language/schema/raw/master/csl-citation.json"} </w:instrText>
      </w:r>
      <w:r w:rsidR="0062499B">
        <w:rPr>
          <w:lang w:val="en-US"/>
        </w:rPr>
        <w:fldChar w:fldCharType="separate"/>
      </w:r>
      <w:r w:rsidR="00E40B44" w:rsidRPr="00E40B44">
        <w:rPr>
          <w:vertAlign w:val="superscript"/>
          <w:lang w:val="en-GB"/>
        </w:rPr>
        <w:t>[1]</w:t>
      </w:r>
      <w:r w:rsidR="0062499B">
        <w:rPr>
          <w:lang w:val="en-US"/>
        </w:rPr>
        <w:fldChar w:fldCharType="end"/>
      </w:r>
      <w:r w:rsidR="0050523A">
        <w:rPr>
          <w:lang w:val="en-US"/>
        </w:rPr>
        <w:t xml:space="preserve"> </w:t>
      </w:r>
      <w:r w:rsidR="00176A2E">
        <w:rPr>
          <w:lang w:val="en-US"/>
        </w:rPr>
        <w:t xml:space="preserve">In </w:t>
      </w:r>
      <w:r w:rsidR="0030796F">
        <w:rPr>
          <w:lang w:val="en-US"/>
        </w:rPr>
        <w:t xml:space="preserve">comparison with the widely investigated </w:t>
      </w:r>
      <w:r w:rsidR="0030796F">
        <w:t>β</w:t>
      </w:r>
      <w:r w:rsidR="0030796F" w:rsidRPr="005A6ED0">
        <w:rPr>
          <w:lang w:val="en-GB"/>
        </w:rPr>
        <w:t>-</w:t>
      </w:r>
      <w:r w:rsidR="0030796F">
        <w:rPr>
          <w:lang w:val="en-GB"/>
        </w:rPr>
        <w:t>Ga</w:t>
      </w:r>
      <w:r w:rsidR="0030796F" w:rsidRPr="005A6ED0">
        <w:rPr>
          <w:vertAlign w:val="subscript"/>
          <w:lang w:val="en-GB"/>
        </w:rPr>
        <w:t>2</w:t>
      </w:r>
      <w:r w:rsidR="0030796F">
        <w:rPr>
          <w:lang w:val="en-GB"/>
        </w:rPr>
        <w:t>O</w:t>
      </w:r>
      <w:r w:rsidR="0030796F" w:rsidRPr="005A6ED0">
        <w:rPr>
          <w:vertAlign w:val="subscript"/>
          <w:lang w:val="en-GB"/>
        </w:rPr>
        <w:t>3</w:t>
      </w:r>
      <w:r w:rsidR="00176A2E">
        <w:rPr>
          <w:lang w:val="en-US"/>
        </w:rPr>
        <w:t>,</w:t>
      </w:r>
      <w:r w:rsidR="0030796F">
        <w:rPr>
          <w:lang w:val="en-US"/>
        </w:rPr>
        <w:t xml:space="preserve"> </w:t>
      </w:r>
      <w:r w:rsidR="008308CA">
        <w:rPr>
          <w:lang w:val="en-US"/>
        </w:rPr>
        <w:t xml:space="preserve">a </w:t>
      </w:r>
      <w:r w:rsidR="00F25EC7">
        <w:rPr>
          <w:lang w:val="en-US"/>
        </w:rPr>
        <w:t>major</w:t>
      </w:r>
      <w:r w:rsidR="008308CA">
        <w:rPr>
          <w:lang w:val="en-US"/>
        </w:rPr>
        <w:t xml:space="preserve"> potential advantage of </w:t>
      </w:r>
      <w:r w:rsidR="0030796F">
        <w:rPr>
          <w:lang w:val="en-US"/>
        </w:rPr>
        <w:t>r-GeO</w:t>
      </w:r>
      <w:r w:rsidR="0030796F" w:rsidRPr="0030796F">
        <w:rPr>
          <w:vertAlign w:val="subscript"/>
          <w:lang w:val="en-US"/>
        </w:rPr>
        <w:t>2</w:t>
      </w:r>
      <w:r w:rsidR="00176A2E">
        <w:rPr>
          <w:lang w:val="en-US"/>
        </w:rPr>
        <w:t xml:space="preserve"> </w:t>
      </w:r>
      <w:r w:rsidR="008308CA">
        <w:rPr>
          <w:lang w:val="en-US"/>
        </w:rPr>
        <w:t>is the predicted</w:t>
      </w:r>
      <w:r w:rsidR="00365CBD">
        <w:rPr>
          <w:lang w:val="en-US"/>
        </w:rPr>
        <w:t xml:space="preserve"> </w:t>
      </w:r>
      <w:r w:rsidR="00EA1596">
        <w:rPr>
          <w:lang w:val="en-US"/>
        </w:rPr>
        <w:t>possibility to obtain</w:t>
      </w:r>
      <w:r w:rsidR="00365CBD">
        <w:rPr>
          <w:lang w:val="en-US"/>
        </w:rPr>
        <w:t xml:space="preserve"> </w:t>
      </w:r>
      <w:r w:rsidR="00A671B8">
        <w:rPr>
          <w:lang w:val="en-US"/>
        </w:rPr>
        <w:t>ambipolar</w:t>
      </w:r>
      <w:r w:rsidR="00EA1596">
        <w:rPr>
          <w:lang w:val="en-US"/>
        </w:rPr>
        <w:t xml:space="preserve"> doping for </w:t>
      </w:r>
      <w:r w:rsidR="00EA1596" w:rsidRPr="00EA1596">
        <w:rPr>
          <w:i/>
          <w:iCs/>
          <w:lang w:val="en-US"/>
        </w:rPr>
        <w:t>pn</w:t>
      </w:r>
      <w:r w:rsidR="00EA1596">
        <w:rPr>
          <w:lang w:val="en-US"/>
        </w:rPr>
        <w:t xml:space="preserve"> homo-junctions</w:t>
      </w:r>
      <w:r w:rsidR="00D25ADB">
        <w:rPr>
          <w:lang w:val="en-US"/>
        </w:rPr>
        <w:t xml:space="preserve"> device architectures</w:t>
      </w:r>
      <w:r w:rsidR="00EA1596">
        <w:rPr>
          <w:lang w:val="en-US"/>
        </w:rPr>
        <w:t>.</w:t>
      </w:r>
      <w:r w:rsidR="00D87566">
        <w:rPr>
          <w:lang w:val="en-US"/>
        </w:rPr>
        <w:t xml:space="preserve"> </w:t>
      </w:r>
    </w:p>
    <w:p w14:paraId="3802FEFE" w14:textId="4870D16B" w:rsidR="003A2F24" w:rsidRDefault="00D344EB" w:rsidP="00172F51">
      <w:pPr>
        <w:pStyle w:val="Default"/>
        <w:jc w:val="both"/>
        <w:rPr>
          <w:lang w:val="en-US"/>
        </w:rPr>
      </w:pPr>
      <w:r>
        <w:rPr>
          <w:lang w:val="en-US"/>
        </w:rPr>
        <w:t>Experimentally, it has been already demonstrated its bulk growth</w:t>
      </w:r>
      <w:r w:rsidR="00892E10">
        <w:rPr>
          <w:lang w:val="en-US"/>
        </w:rPr>
        <w:t xml:space="preserve"> with controllable n-type conductivity (Sb).</w:t>
      </w:r>
      <w:r w:rsidR="00892E10">
        <w:rPr>
          <w:lang w:val="en-US"/>
        </w:rPr>
        <w:fldChar w:fldCharType="begin"/>
      </w:r>
      <w:r w:rsidR="00411315">
        <w:rPr>
          <w:lang w:val="en-US"/>
        </w:rPr>
        <w:instrText xml:space="preserve"> ADDIN ZOTERO_ITEM CSL_CITATION {"citationID":"snp2yTKU","properties":{"formattedCitation":"\\super [2]\\nosupersub{}","plainCitation":"[2]","noteIndex":0},"citationItems":[{"id":"2w8pUBgs/ca4B8Kso","uris":["http://zotero.org/users/6777009/items/ZX2SGE45"],"itemData":{"id":9721,"type":"article-journal","abstract":"The top‐seeded solution growth for rutile GeO \n              2 \n              single crystals using alkali carbonates or fluorides as flux is applied. Structural data of obtained single crystals confirm the rutile phase with \n              a \n               =  \n              b \n               = 4.3966 Å and \n              c \n               = 2.8612 Å. The crystals with diameter of 5–15 mm are either undoped or intentionally doped with Sb \n              5+ \n              , Sn \n              4+ \n              , Al \n              3+ \n              , Ga \n              3+ \n              , and F \n              − \n              ions. It is found that Sb \n              5+ \n              is a very efficient n‐type donor enabling free electron concentration even above 10 \n              20 \n               cm \n              −3 \n              ; thus, Sb‐doped GeO \n              2 \n              is a potential substrate for vertical power devices. In contrast, crystals doped with Al and Ga do not show p‐type conductivity suggested by the theory. The onset of the absorption occurs at 5.0 and 5.5 eV perpendicular and parallel to the c‐axis, respectively. Rutile GeO \n              2 \n              shows a very intense photoluminescence peaking at 420 nm (blue) and 520 nm (green). Raman spectra show narrow lines, in particular at high phonon energy ( \n              B \n              1g \n              , 170 cm \n              −1 \n              ). Prepared wafers show FWHM values of rocking curves below 30 arcsec and polishing is achieved down to RMS roughness of 0.15 nm. Transmission electron microscopy images do not show point or extended structural defects with uniform Sb distribution.","container-title":"physica status solidi (b)","DOI":"10.1002/pssb.202400326","ISSN":"0370-1972, 1521-3951","journalAbbreviation":"Physica Status Solidi (b)","language":"en","page":"2400326","source":"DOI.org (Crossref)","title":"Bulk Single Crystals and Physical Properties of Rutile GeO&lt;sub&gt;2&lt;/sub&gt; for High‐Power Electronics and Deep‐Ultraviolet Optoelectronics","author":[{"family":"Galazka","given":"Zbigniew"},{"family":"Blukis","given":"Roberts"},{"family":"Fiedler","given":"Andreas"},{"family":"Bin Anooz","given":"Saud"},{"family":"Zhang","given":"Jijun"},{"family":"Albrecht","given":"Martin"},{"family":"Remmele","given":"Thilo"},{"family":"Schulz","given":"Tobias"},{"family":"Klimm","given":"Detlef"},{"family":"Pietsch","given":"Mike"},{"family":"Kwasniewski","given":"Albert"},{"family":"Dittmar","given":"Andrea"},{"family":"Ganschow","given":"Steffen"},{"family":"Juda","given":"Uta"},{"family":"Stolze","given":"Karoline"},{"family":"Suendermann","given":"Manuela"},{"family":"Schroeder","given":"Thomas"},{"family":"Bickermann","given":"Matthias"}],"issued":{"date-parts":[["2024",11,5]]}}}],"schema":"https://github.com/citation-style-language/schema/raw/master/csl-citation.json"} </w:instrText>
      </w:r>
      <w:r w:rsidR="00892E10">
        <w:rPr>
          <w:lang w:val="en-US"/>
        </w:rPr>
        <w:fldChar w:fldCharType="separate"/>
      </w:r>
      <w:r w:rsidR="00E40B44" w:rsidRPr="00E40B44">
        <w:rPr>
          <w:vertAlign w:val="superscript"/>
          <w:lang w:val="en-GB"/>
        </w:rPr>
        <w:t>[2]</w:t>
      </w:r>
      <w:r w:rsidR="00892E10">
        <w:rPr>
          <w:lang w:val="en-US"/>
        </w:rPr>
        <w:fldChar w:fldCharType="end"/>
      </w:r>
      <w:r w:rsidR="00892E10">
        <w:rPr>
          <w:lang w:val="en-US"/>
        </w:rPr>
        <w:t xml:space="preserve"> </w:t>
      </w:r>
      <w:r w:rsidR="00FA722F">
        <w:rPr>
          <w:lang w:val="en-US"/>
        </w:rPr>
        <w:t>While this opens up for</w:t>
      </w:r>
      <w:r w:rsidR="00D74630">
        <w:rPr>
          <w:lang w:val="en-US"/>
        </w:rPr>
        <w:t xml:space="preserve"> the</w:t>
      </w:r>
      <w:r w:rsidR="00FA722F">
        <w:rPr>
          <w:lang w:val="en-US"/>
        </w:rPr>
        <w:t xml:space="preserve"> future </w:t>
      </w:r>
      <w:r w:rsidR="00BC5366">
        <w:rPr>
          <w:lang w:val="en-US"/>
        </w:rPr>
        <w:t>evolution</w:t>
      </w:r>
      <w:r w:rsidR="00FA722F">
        <w:rPr>
          <w:lang w:val="en-US"/>
        </w:rPr>
        <w:t xml:space="preserve"> of </w:t>
      </w:r>
      <w:r w:rsidR="00D74630">
        <w:rPr>
          <w:lang w:val="en-US"/>
        </w:rPr>
        <w:t>homoepitaxy, at present bulk r-GeO</w:t>
      </w:r>
      <w:r w:rsidR="00D74630" w:rsidRPr="00D74630">
        <w:rPr>
          <w:vertAlign w:val="subscript"/>
          <w:lang w:val="en-US"/>
        </w:rPr>
        <w:t>2</w:t>
      </w:r>
      <w:r w:rsidR="00D74630">
        <w:rPr>
          <w:lang w:val="en-US"/>
        </w:rPr>
        <w:t xml:space="preserve"> substrates are not commercially available; therefore, the development of this material system must rely on heteroepitaxy.</w:t>
      </w:r>
      <w:r w:rsidR="003A2F24">
        <w:rPr>
          <w:lang w:val="en-US"/>
        </w:rPr>
        <w:t xml:space="preserve"> </w:t>
      </w:r>
      <w:r w:rsidR="00A36B0C">
        <w:rPr>
          <w:lang w:val="en-US"/>
        </w:rPr>
        <w:t xml:space="preserve">Its </w:t>
      </w:r>
      <w:r w:rsidR="00ED290C">
        <w:rPr>
          <w:lang w:val="en-US"/>
        </w:rPr>
        <w:t>epitaxial growth</w:t>
      </w:r>
      <w:r w:rsidR="0028326E">
        <w:rPr>
          <w:lang w:val="en-US"/>
        </w:rPr>
        <w:t xml:space="preserve"> faces</w:t>
      </w:r>
      <w:r w:rsidR="008142AB">
        <w:rPr>
          <w:lang w:val="en-US"/>
        </w:rPr>
        <w:t xml:space="preserve"> </w:t>
      </w:r>
      <w:r w:rsidR="008142AB" w:rsidRPr="008142AB">
        <w:rPr>
          <w:lang w:val="en-US"/>
        </w:rPr>
        <w:t>two major challenges: (1) the two-step growth kinetics involving the preliminary formation of the volatile GeO suboxide</w:t>
      </w:r>
      <w:r w:rsidR="00294985">
        <w:rPr>
          <w:lang w:val="en-US"/>
        </w:rPr>
        <w:t xml:space="preserve"> (limiting its growth rate)</w:t>
      </w:r>
      <w:r w:rsidR="00411315">
        <w:rPr>
          <w:lang w:val="en-US"/>
        </w:rPr>
        <w:fldChar w:fldCharType="begin"/>
      </w:r>
      <w:r w:rsidR="00411315">
        <w:rPr>
          <w:lang w:val="en-US"/>
        </w:rPr>
        <w:instrText xml:space="preserve"> ADDIN ZOTERO_ITEM CSL_CITATION {"citationID":"w4hHhjry","properties":{"formattedCitation":"\\super [3]\\nosupersub{}","plainCitation":"[3]","noteIndex":0},"citationItems":[{"id":9742,"uris":["http://zotero.org/users/6777009/items/DJFYLS2U"],"itemData":{"id":9742,"type":"article-journal","abstract":"Rutile GeO2 has been predicted to be an ultra-wide bandgap semiconductor suitable for future power electronic devices, while quartz-like GeO2 shows piezoelectric properties. To explore these crystalline phases for application and fundamental materials investigations, molecular beam epitaxy (MBE) is a well-suited thin film growth technique. In this study, we investigate the reaction kinetics of GeO2 during plasma-assisted MBE using elemental Ge and plasma-activated oxygen fluxes. The growth rate as a function of oxygen flux is measured in situ by laser reflectometry at different growth temperatures. A flux of the suboxide GeO desorbing off the growth surface is identified and quantified in situ by the line-of-sight quadrupole mass spectrometry. Our measurements reveal that the suboxide formation and desorption limits the growth rate under Ge-rich or high temperature growth conditions and leads to etching of the grown GeO2 layer under a Ge flux in the absence of oxygen. The quantitative results fit the sub-compound mediated reaction model, indicating the intermediate formation of the suboxide at the growth front. This model is further utilized to delineate the GeO2-growth window in terms of oxygen-flux and substrate temperature. Our study can serve as a guidance for the thin film synthesis of GeO2 and defect-free mesa etching in future GeO2-device processing.","container-title":"APL Materials","DOI":"10.1063/5.0155869","ISSN":"2166-532X","issue":"7","language":"en","page":"071110","source":"DOI.org (Crossref)","title":"&lt;i&gt;In situ&lt;/i&gt; study and modeling of the reaction kinetics during molecular beam epitaxy of GeO2 and its etching by Ge","volume":"11","author":[{"family":"Chen","given":"Wenshan"},{"family":"Egbo","given":"Kingsley"},{"family":"Tornatzky","given":"Hans"},{"family":"Ramsteiner","given":"Manfred"},{"family":"Wagner","given":"Markus R."},{"family":"Bierwagen","given":"Oliver"}],"issued":{"date-parts":[["2023",7,1]]}}}],"schema":"https://github.com/citation-style-language/schema/raw/master/csl-citation.json"} </w:instrText>
      </w:r>
      <w:r w:rsidR="00411315">
        <w:rPr>
          <w:lang w:val="en-US"/>
        </w:rPr>
        <w:fldChar w:fldCharType="separate"/>
      </w:r>
      <w:r w:rsidR="00411315" w:rsidRPr="00411315">
        <w:rPr>
          <w:vertAlign w:val="superscript"/>
        </w:rPr>
        <w:t>[3]</w:t>
      </w:r>
      <w:r w:rsidR="00411315">
        <w:rPr>
          <w:lang w:val="en-US"/>
        </w:rPr>
        <w:fldChar w:fldCharType="end"/>
      </w:r>
      <w:r w:rsidR="008142AB" w:rsidRPr="008142AB">
        <w:rPr>
          <w:lang w:val="en-US"/>
        </w:rPr>
        <w:t xml:space="preserve"> and (2) the strong competition between the amorphous material and the rutile phase</w:t>
      </w:r>
      <w:r w:rsidR="002B2BB8">
        <w:rPr>
          <w:lang w:val="en-US"/>
        </w:rPr>
        <w:t xml:space="preserve"> stabilization</w:t>
      </w:r>
      <w:r w:rsidR="008142AB" w:rsidRPr="008142AB">
        <w:rPr>
          <w:lang w:val="en-US"/>
        </w:rPr>
        <w:t>.</w:t>
      </w:r>
      <w:r w:rsidR="00CA7F5E">
        <w:rPr>
          <w:lang w:val="en-US"/>
        </w:rPr>
        <w:fldChar w:fldCharType="begin"/>
      </w:r>
      <w:r w:rsidR="00411315">
        <w:rPr>
          <w:lang w:val="en-US"/>
        </w:rPr>
        <w:instrText xml:space="preserve"> ADDIN ZOTERO_ITEM CSL_CITATION {"citationID":"TTluEAlA","properties":{"formattedCitation":"\\super [4]\\nosupersub{}","plainCitation":"[4]","noteIndex":0},"citationItems":[{"id":8733,"uris":["http://zotero.org/users/6777009/items/B39EI8CV"],"itemData":{"id":8733,"type":"article-journal","container-title":"Applied Physics Letters","DOI":"10.1063/5.0018031","ISSN":"0003-6951, 1077-3118","issue":"7","journalAbbreviation":"Appl. Phys. Lett.","language":"en","page":"072105","source":"DOI.org (Crossref)","title":"Epitaxial stabilization of rutile germanium oxide thin film by molecular beam epitaxy","volume":"117","author":[{"family":"Chae","given":"S."},{"family":"Paik","given":"H."},{"family":"Vu","given":"N. M."},{"family":"Kioupakis","given":"E."},{"family":"Heron","given":"J. T."}],"issued":{"date-parts":[["2020",8,17]]}}}],"schema":"https://github.com/citation-style-language/schema/raw/master/csl-citation.json"} </w:instrText>
      </w:r>
      <w:r w:rsidR="00CA7F5E">
        <w:rPr>
          <w:lang w:val="en-US"/>
        </w:rPr>
        <w:fldChar w:fldCharType="separate"/>
      </w:r>
      <w:r w:rsidR="00411315" w:rsidRPr="00411315">
        <w:rPr>
          <w:vertAlign w:val="superscript"/>
        </w:rPr>
        <w:t>[4]</w:t>
      </w:r>
      <w:r w:rsidR="00CA7F5E">
        <w:rPr>
          <w:lang w:val="en-US"/>
        </w:rPr>
        <w:fldChar w:fldCharType="end"/>
      </w:r>
      <w:r w:rsidR="00A36B0C">
        <w:rPr>
          <w:lang w:val="en-US"/>
        </w:rPr>
        <w:t xml:space="preserve"> </w:t>
      </w:r>
      <w:r w:rsidR="0095508C">
        <w:rPr>
          <w:lang w:val="en-US"/>
        </w:rPr>
        <w:t>In this work we cover such aspects</w:t>
      </w:r>
      <w:r w:rsidR="00896F70">
        <w:rPr>
          <w:lang w:val="en-US"/>
        </w:rPr>
        <w:t xml:space="preserve"> by</w:t>
      </w:r>
      <w:r w:rsidR="0095508C">
        <w:rPr>
          <w:lang w:val="en-US"/>
        </w:rPr>
        <w:t xml:space="preserve"> </w:t>
      </w:r>
      <w:r w:rsidR="00F361AA">
        <w:rPr>
          <w:lang w:val="en-US"/>
        </w:rPr>
        <w:t>investigating r-GeO</w:t>
      </w:r>
      <w:r w:rsidR="00F361AA" w:rsidRPr="00F361AA">
        <w:rPr>
          <w:vertAlign w:val="subscript"/>
          <w:lang w:val="en-US"/>
        </w:rPr>
        <w:t>2</w:t>
      </w:r>
      <w:r w:rsidR="00F361AA">
        <w:rPr>
          <w:lang w:val="en-US"/>
        </w:rPr>
        <w:t xml:space="preserve"> </w:t>
      </w:r>
      <w:r w:rsidR="00896F70">
        <w:rPr>
          <w:lang w:val="en-US"/>
        </w:rPr>
        <w:t xml:space="preserve">epitaxial </w:t>
      </w:r>
      <w:r w:rsidR="00F361AA">
        <w:rPr>
          <w:lang w:val="en-US"/>
        </w:rPr>
        <w:t>layers deposited by MOVPE on different orientations of isostructural r-TiO</w:t>
      </w:r>
      <w:r w:rsidR="00F361AA" w:rsidRPr="00F361AA">
        <w:rPr>
          <w:vertAlign w:val="subscript"/>
          <w:lang w:val="en-US"/>
        </w:rPr>
        <w:t>2</w:t>
      </w:r>
      <w:r w:rsidR="00F361AA">
        <w:rPr>
          <w:lang w:val="en-US"/>
        </w:rPr>
        <w:t xml:space="preserve"> substrates.</w:t>
      </w:r>
      <w:r w:rsidR="00725526">
        <w:rPr>
          <w:lang w:val="en-US"/>
        </w:rPr>
        <w:t xml:space="preserve"> </w:t>
      </w:r>
      <w:r w:rsidR="0095658A">
        <w:rPr>
          <w:lang w:val="en-US"/>
        </w:rPr>
        <w:t>By combining</w:t>
      </w:r>
      <w:r w:rsidR="00725526">
        <w:rPr>
          <w:lang w:val="en-US"/>
        </w:rPr>
        <w:t xml:space="preserve"> experimental (e.g., </w:t>
      </w:r>
      <w:r w:rsidR="00292F5A">
        <w:rPr>
          <w:lang w:val="en-US"/>
        </w:rPr>
        <w:t>(S)</w:t>
      </w:r>
      <w:r w:rsidR="00725526">
        <w:rPr>
          <w:lang w:val="en-US"/>
        </w:rPr>
        <w:t>TEM, SEM, XRD</w:t>
      </w:r>
      <w:r w:rsidR="00D63474">
        <w:rPr>
          <w:lang w:val="en-US"/>
        </w:rPr>
        <w:t xml:space="preserve">, </w:t>
      </w:r>
      <w:r w:rsidR="006D2DD0">
        <w:rPr>
          <w:lang w:val="en-US"/>
        </w:rPr>
        <w:t xml:space="preserve">AFM, </w:t>
      </w:r>
      <w:r w:rsidR="00D63474">
        <w:rPr>
          <w:lang w:val="en-US"/>
        </w:rPr>
        <w:t>EBSD</w:t>
      </w:r>
      <w:r w:rsidR="00725526">
        <w:rPr>
          <w:lang w:val="en-US"/>
        </w:rPr>
        <w:t>)</w:t>
      </w:r>
      <w:r w:rsidR="00D63474">
        <w:rPr>
          <w:lang w:val="en-US"/>
        </w:rPr>
        <w:t xml:space="preserve"> and theoretical </w:t>
      </w:r>
      <w:r w:rsidR="0095658A">
        <w:rPr>
          <w:lang w:val="en-US"/>
        </w:rPr>
        <w:t xml:space="preserve">data we will </w:t>
      </w:r>
      <w:r w:rsidR="00E05660">
        <w:rPr>
          <w:lang w:val="en-US"/>
        </w:rPr>
        <w:t>focus on strain</w:t>
      </w:r>
      <w:r w:rsidR="00CD7958">
        <w:rPr>
          <w:lang w:val="en-US"/>
        </w:rPr>
        <w:t>,</w:t>
      </w:r>
      <w:r w:rsidR="00E05660">
        <w:rPr>
          <w:lang w:val="en-US"/>
        </w:rPr>
        <w:t xml:space="preserve"> faceting</w:t>
      </w:r>
      <w:r w:rsidR="00CD7958">
        <w:rPr>
          <w:lang w:val="en-US"/>
        </w:rPr>
        <w:t xml:space="preserve"> and growth rate</w:t>
      </w:r>
      <w:r w:rsidR="00E05660">
        <w:rPr>
          <w:lang w:val="en-US"/>
        </w:rPr>
        <w:t xml:space="preserve"> </w:t>
      </w:r>
      <w:r w:rsidR="006D2DD0">
        <w:rPr>
          <w:lang w:val="en-US"/>
        </w:rPr>
        <w:t xml:space="preserve">in defining </w:t>
      </w:r>
      <w:r w:rsidR="00E05660">
        <w:rPr>
          <w:lang w:val="en-US"/>
        </w:rPr>
        <w:t xml:space="preserve">the overall structural quality </w:t>
      </w:r>
      <w:r w:rsidR="009E4C61">
        <w:rPr>
          <w:lang w:val="en-US"/>
        </w:rPr>
        <w:t>of the deposited epilayers.</w:t>
      </w:r>
    </w:p>
    <w:p w14:paraId="2AFB88C7" w14:textId="77777777" w:rsidR="00B85161" w:rsidRDefault="00B85161" w:rsidP="00172F51">
      <w:pPr>
        <w:pStyle w:val="Default"/>
        <w:jc w:val="both"/>
        <w:rPr>
          <w:lang w:val="en-US"/>
        </w:rPr>
      </w:pPr>
    </w:p>
    <w:p w14:paraId="3C7F21F8" w14:textId="77777777" w:rsidR="003A2F24" w:rsidRDefault="003A2F24" w:rsidP="00172F51">
      <w:pPr>
        <w:pStyle w:val="Default"/>
        <w:jc w:val="both"/>
        <w:rPr>
          <w:lang w:val="en-US"/>
        </w:rPr>
      </w:pPr>
    </w:p>
    <w:p w14:paraId="645EC9C6" w14:textId="77777777" w:rsidR="00E51F77" w:rsidRDefault="00E51F77" w:rsidP="00172F51">
      <w:pPr>
        <w:pStyle w:val="Default"/>
        <w:jc w:val="both"/>
        <w:rPr>
          <w:lang w:val="en-US"/>
        </w:rPr>
      </w:pPr>
    </w:p>
    <w:p w14:paraId="4DFED7F1" w14:textId="77777777" w:rsidR="00C90883" w:rsidRDefault="00C90883" w:rsidP="00172F51">
      <w:pPr>
        <w:pStyle w:val="Default"/>
        <w:jc w:val="both"/>
        <w:rPr>
          <w:lang w:val="en-US"/>
        </w:rPr>
      </w:pPr>
    </w:p>
    <w:p w14:paraId="499865DE" w14:textId="77777777" w:rsidR="00411315" w:rsidRPr="00411315" w:rsidRDefault="00CF71CB" w:rsidP="00411315">
      <w:pPr>
        <w:pStyle w:val="Bibliography"/>
        <w:rPr>
          <w:rFonts w:ascii="Times New Roman" w:hAnsi="Times New Roman"/>
        </w:rPr>
      </w:pPr>
      <w:r w:rsidRPr="00B85161">
        <w:rPr>
          <w:lang w:val="en-US"/>
        </w:rPr>
        <w:fldChar w:fldCharType="begin"/>
      </w:r>
      <w:r w:rsidRPr="00B85161">
        <w:rPr>
          <w:lang w:val="en-US"/>
        </w:rPr>
        <w:instrText xml:space="preserve"> ADDIN ZOTERO_BIBL {"uncited":[],"omitted":[],"custom":[]} CSL_BIBLIOGRAPHY </w:instrText>
      </w:r>
      <w:r w:rsidRPr="00B85161">
        <w:rPr>
          <w:lang w:val="en-US"/>
        </w:rPr>
        <w:fldChar w:fldCharType="separate"/>
      </w:r>
      <w:r w:rsidR="00411315" w:rsidRPr="00411315">
        <w:rPr>
          <w:rFonts w:ascii="Times New Roman" w:hAnsi="Times New Roman"/>
        </w:rPr>
        <w:t xml:space="preserve">[1] </w:t>
      </w:r>
      <w:r w:rsidR="00411315" w:rsidRPr="00411315">
        <w:rPr>
          <w:rFonts w:ascii="Times New Roman" w:hAnsi="Times New Roman"/>
        </w:rPr>
        <w:tab/>
        <w:t xml:space="preserve">S. Chae, J. Lee, K. A. Mengle, J. T. Heron, E. Kioupakis, </w:t>
      </w:r>
      <w:r w:rsidR="00411315" w:rsidRPr="00411315">
        <w:rPr>
          <w:rFonts w:ascii="Times New Roman" w:hAnsi="Times New Roman"/>
          <w:i/>
          <w:iCs/>
        </w:rPr>
        <w:t>Appl. Phys. Lett.</w:t>
      </w:r>
      <w:r w:rsidR="00411315" w:rsidRPr="00411315">
        <w:rPr>
          <w:rFonts w:ascii="Times New Roman" w:hAnsi="Times New Roman"/>
        </w:rPr>
        <w:t xml:space="preserve"> </w:t>
      </w:r>
      <w:r w:rsidR="00411315" w:rsidRPr="00411315">
        <w:rPr>
          <w:rFonts w:ascii="Times New Roman" w:hAnsi="Times New Roman"/>
          <w:b/>
          <w:bCs/>
        </w:rPr>
        <w:t>2019</w:t>
      </w:r>
      <w:r w:rsidR="00411315" w:rsidRPr="00411315">
        <w:rPr>
          <w:rFonts w:ascii="Times New Roman" w:hAnsi="Times New Roman"/>
        </w:rPr>
        <w:t xml:space="preserve">, </w:t>
      </w:r>
      <w:r w:rsidR="00411315" w:rsidRPr="00411315">
        <w:rPr>
          <w:rFonts w:ascii="Times New Roman" w:hAnsi="Times New Roman"/>
          <w:i/>
          <w:iCs/>
        </w:rPr>
        <w:t>114</w:t>
      </w:r>
      <w:r w:rsidR="00411315" w:rsidRPr="00411315">
        <w:rPr>
          <w:rFonts w:ascii="Times New Roman" w:hAnsi="Times New Roman"/>
        </w:rPr>
        <w:t>, 102104.</w:t>
      </w:r>
    </w:p>
    <w:p w14:paraId="7688E284" w14:textId="77777777" w:rsidR="00411315" w:rsidRPr="00411315" w:rsidRDefault="00411315" w:rsidP="00411315">
      <w:pPr>
        <w:pStyle w:val="Bibliography"/>
        <w:rPr>
          <w:rFonts w:ascii="Times New Roman" w:hAnsi="Times New Roman"/>
        </w:rPr>
      </w:pPr>
      <w:r w:rsidRPr="00411315">
        <w:rPr>
          <w:rFonts w:ascii="Times New Roman" w:hAnsi="Times New Roman"/>
        </w:rPr>
        <w:t xml:space="preserve">[2] </w:t>
      </w:r>
      <w:r w:rsidRPr="00411315">
        <w:rPr>
          <w:rFonts w:ascii="Times New Roman" w:hAnsi="Times New Roman"/>
        </w:rPr>
        <w:tab/>
        <w:t xml:space="preserve">Z. Galazka, R. Blukis, A. Fiedler, S. Bin Anooz, J. Zhang, M. Albrecht, T. Remmele, T. Schulz, D. Klimm, M. Pietsch, A. Kwasniewski, A. Dittmar, S. Ganschow, U. Juda, K. Stolze, M. Suendermann, T. Schroeder, M. Bickermann, </w:t>
      </w:r>
      <w:r w:rsidRPr="00411315">
        <w:rPr>
          <w:rFonts w:ascii="Times New Roman" w:hAnsi="Times New Roman"/>
          <w:i/>
          <w:iCs/>
        </w:rPr>
        <w:t>Physica Status Solidi (b)</w:t>
      </w:r>
      <w:r w:rsidRPr="00411315">
        <w:rPr>
          <w:rFonts w:ascii="Times New Roman" w:hAnsi="Times New Roman"/>
        </w:rPr>
        <w:t xml:space="preserve"> </w:t>
      </w:r>
      <w:r w:rsidRPr="00411315">
        <w:rPr>
          <w:rFonts w:ascii="Times New Roman" w:hAnsi="Times New Roman"/>
          <w:b/>
          <w:bCs/>
        </w:rPr>
        <w:t>2024</w:t>
      </w:r>
      <w:r w:rsidRPr="00411315">
        <w:rPr>
          <w:rFonts w:ascii="Times New Roman" w:hAnsi="Times New Roman"/>
        </w:rPr>
        <w:t>, 2400326.</w:t>
      </w:r>
    </w:p>
    <w:p w14:paraId="7C66DF3B" w14:textId="77777777" w:rsidR="00411315" w:rsidRPr="00411315" w:rsidRDefault="00411315" w:rsidP="00411315">
      <w:pPr>
        <w:pStyle w:val="Bibliography"/>
        <w:rPr>
          <w:rFonts w:ascii="Times New Roman" w:hAnsi="Times New Roman"/>
        </w:rPr>
      </w:pPr>
      <w:r w:rsidRPr="00411315">
        <w:rPr>
          <w:rFonts w:ascii="Times New Roman" w:hAnsi="Times New Roman"/>
        </w:rPr>
        <w:t xml:space="preserve">[3] </w:t>
      </w:r>
      <w:r w:rsidRPr="00411315">
        <w:rPr>
          <w:rFonts w:ascii="Times New Roman" w:hAnsi="Times New Roman"/>
        </w:rPr>
        <w:tab/>
        <w:t xml:space="preserve">W. Chen, K. Egbo, H. Tornatzky, M. Ramsteiner, M. R. Wagner, O. Bierwagen, </w:t>
      </w:r>
      <w:r w:rsidRPr="00411315">
        <w:rPr>
          <w:rFonts w:ascii="Times New Roman" w:hAnsi="Times New Roman"/>
          <w:i/>
          <w:iCs/>
        </w:rPr>
        <w:t>APL Materials</w:t>
      </w:r>
      <w:r w:rsidRPr="00411315">
        <w:rPr>
          <w:rFonts w:ascii="Times New Roman" w:hAnsi="Times New Roman"/>
        </w:rPr>
        <w:t xml:space="preserve"> </w:t>
      </w:r>
      <w:r w:rsidRPr="00411315">
        <w:rPr>
          <w:rFonts w:ascii="Times New Roman" w:hAnsi="Times New Roman"/>
          <w:b/>
          <w:bCs/>
        </w:rPr>
        <w:t>2023</w:t>
      </w:r>
      <w:r w:rsidRPr="00411315">
        <w:rPr>
          <w:rFonts w:ascii="Times New Roman" w:hAnsi="Times New Roman"/>
        </w:rPr>
        <w:t xml:space="preserve">, </w:t>
      </w:r>
      <w:r w:rsidRPr="00411315">
        <w:rPr>
          <w:rFonts w:ascii="Times New Roman" w:hAnsi="Times New Roman"/>
          <w:i/>
          <w:iCs/>
        </w:rPr>
        <w:t>11</w:t>
      </w:r>
      <w:r w:rsidRPr="00411315">
        <w:rPr>
          <w:rFonts w:ascii="Times New Roman" w:hAnsi="Times New Roman"/>
        </w:rPr>
        <w:t>, 071110.</w:t>
      </w:r>
    </w:p>
    <w:p w14:paraId="118ECF40" w14:textId="77777777" w:rsidR="00411315" w:rsidRPr="00411315" w:rsidRDefault="00411315" w:rsidP="00411315">
      <w:pPr>
        <w:pStyle w:val="Bibliography"/>
        <w:rPr>
          <w:rFonts w:ascii="Times New Roman" w:hAnsi="Times New Roman"/>
        </w:rPr>
      </w:pPr>
      <w:r w:rsidRPr="00411315">
        <w:rPr>
          <w:rFonts w:ascii="Times New Roman" w:hAnsi="Times New Roman"/>
        </w:rPr>
        <w:t xml:space="preserve">[4] </w:t>
      </w:r>
      <w:r w:rsidRPr="00411315">
        <w:rPr>
          <w:rFonts w:ascii="Times New Roman" w:hAnsi="Times New Roman"/>
        </w:rPr>
        <w:tab/>
        <w:t xml:space="preserve">S. Chae, H. Paik, N. M. Vu, E. Kioupakis, J. T. Heron, </w:t>
      </w:r>
      <w:r w:rsidRPr="00411315">
        <w:rPr>
          <w:rFonts w:ascii="Times New Roman" w:hAnsi="Times New Roman"/>
          <w:i/>
          <w:iCs/>
        </w:rPr>
        <w:t>Appl. Phys. Lett.</w:t>
      </w:r>
      <w:r w:rsidRPr="00411315">
        <w:rPr>
          <w:rFonts w:ascii="Times New Roman" w:hAnsi="Times New Roman"/>
        </w:rPr>
        <w:t xml:space="preserve"> </w:t>
      </w:r>
      <w:r w:rsidRPr="00411315">
        <w:rPr>
          <w:rFonts w:ascii="Times New Roman" w:hAnsi="Times New Roman"/>
          <w:b/>
          <w:bCs/>
        </w:rPr>
        <w:t>2020</w:t>
      </w:r>
      <w:r w:rsidRPr="00411315">
        <w:rPr>
          <w:rFonts w:ascii="Times New Roman" w:hAnsi="Times New Roman"/>
        </w:rPr>
        <w:t xml:space="preserve">, </w:t>
      </w:r>
      <w:r w:rsidRPr="00411315">
        <w:rPr>
          <w:rFonts w:ascii="Times New Roman" w:hAnsi="Times New Roman"/>
          <w:i/>
          <w:iCs/>
        </w:rPr>
        <w:t>117</w:t>
      </w:r>
      <w:r w:rsidRPr="00411315">
        <w:rPr>
          <w:rFonts w:ascii="Times New Roman" w:hAnsi="Times New Roman"/>
        </w:rPr>
        <w:t>, 072105.</w:t>
      </w:r>
    </w:p>
    <w:p w14:paraId="7FFE1956" w14:textId="1A16A3DB" w:rsidR="00172F51" w:rsidRPr="002A0132" w:rsidRDefault="00CF71CB" w:rsidP="00D3579C">
      <w:pPr>
        <w:pStyle w:val="Default"/>
        <w:tabs>
          <w:tab w:val="left" w:pos="0"/>
        </w:tabs>
        <w:jc w:val="both"/>
        <w:rPr>
          <w:b/>
          <w:i/>
          <w:lang w:val="en-US"/>
        </w:rPr>
      </w:pPr>
      <w:r w:rsidRPr="00B85161">
        <w:rPr>
          <w:sz w:val="22"/>
          <w:szCs w:val="22"/>
          <w:lang w:val="en-US"/>
        </w:rPr>
        <w:fldChar w:fldCharType="end"/>
      </w:r>
      <w:r w:rsidR="00172F51" w:rsidRPr="00E16B73">
        <w:rPr>
          <w:b/>
          <w:i/>
          <w:lang w:val="en-US"/>
        </w:rPr>
        <w:t xml:space="preserve"> </w:t>
      </w:r>
    </w:p>
    <w:p w14:paraId="521EF359" w14:textId="77777777" w:rsidR="00172F51" w:rsidRPr="00172F51" w:rsidRDefault="00172F51">
      <w:pPr>
        <w:rPr>
          <w:lang w:val="en-US"/>
        </w:rPr>
      </w:pPr>
    </w:p>
    <w:sectPr w:rsidR="00172F51" w:rsidRPr="00172F51"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7701F"/>
    <w:rsid w:val="000C16E4"/>
    <w:rsid w:val="000C71EF"/>
    <w:rsid w:val="00120FF3"/>
    <w:rsid w:val="00136988"/>
    <w:rsid w:val="00172F51"/>
    <w:rsid w:val="00176A2E"/>
    <w:rsid w:val="001E092A"/>
    <w:rsid w:val="00244471"/>
    <w:rsid w:val="00246F6A"/>
    <w:rsid w:val="002613C6"/>
    <w:rsid w:val="0028326E"/>
    <w:rsid w:val="00292F5A"/>
    <w:rsid w:val="00294985"/>
    <w:rsid w:val="00295B4E"/>
    <w:rsid w:val="002A0132"/>
    <w:rsid w:val="002A3D93"/>
    <w:rsid w:val="002B1B1E"/>
    <w:rsid w:val="002B2BB8"/>
    <w:rsid w:val="002D5DC3"/>
    <w:rsid w:val="0030796F"/>
    <w:rsid w:val="00365CBD"/>
    <w:rsid w:val="003A2F24"/>
    <w:rsid w:val="003E0DD9"/>
    <w:rsid w:val="003F3CA7"/>
    <w:rsid w:val="00411315"/>
    <w:rsid w:val="0041627C"/>
    <w:rsid w:val="004215DB"/>
    <w:rsid w:val="004573FD"/>
    <w:rsid w:val="0047107B"/>
    <w:rsid w:val="004759D7"/>
    <w:rsid w:val="004A3505"/>
    <w:rsid w:val="004B6517"/>
    <w:rsid w:val="004E0655"/>
    <w:rsid w:val="0050523A"/>
    <w:rsid w:val="00574ABC"/>
    <w:rsid w:val="005A1240"/>
    <w:rsid w:val="005A6ED0"/>
    <w:rsid w:val="0062499B"/>
    <w:rsid w:val="00636D90"/>
    <w:rsid w:val="00641248"/>
    <w:rsid w:val="00642788"/>
    <w:rsid w:val="006524A0"/>
    <w:rsid w:val="006D2DD0"/>
    <w:rsid w:val="006D78D5"/>
    <w:rsid w:val="00720782"/>
    <w:rsid w:val="00725526"/>
    <w:rsid w:val="00745527"/>
    <w:rsid w:val="00777B59"/>
    <w:rsid w:val="007855C0"/>
    <w:rsid w:val="0080675C"/>
    <w:rsid w:val="008142AB"/>
    <w:rsid w:val="008166DE"/>
    <w:rsid w:val="008178D0"/>
    <w:rsid w:val="008308CA"/>
    <w:rsid w:val="00842355"/>
    <w:rsid w:val="00892E10"/>
    <w:rsid w:val="00896F70"/>
    <w:rsid w:val="008E26FD"/>
    <w:rsid w:val="00910550"/>
    <w:rsid w:val="00927D31"/>
    <w:rsid w:val="0095508C"/>
    <w:rsid w:val="0095658A"/>
    <w:rsid w:val="00963BC5"/>
    <w:rsid w:val="009675ED"/>
    <w:rsid w:val="009A3324"/>
    <w:rsid w:val="009D779A"/>
    <w:rsid w:val="009E46EF"/>
    <w:rsid w:val="009E4827"/>
    <w:rsid w:val="009E4C61"/>
    <w:rsid w:val="00A2375C"/>
    <w:rsid w:val="00A36B0C"/>
    <w:rsid w:val="00A671B8"/>
    <w:rsid w:val="00AD2917"/>
    <w:rsid w:val="00B14154"/>
    <w:rsid w:val="00B15485"/>
    <w:rsid w:val="00B67C2A"/>
    <w:rsid w:val="00B85161"/>
    <w:rsid w:val="00BC3385"/>
    <w:rsid w:val="00BC5366"/>
    <w:rsid w:val="00C02ACE"/>
    <w:rsid w:val="00C14B67"/>
    <w:rsid w:val="00C67C56"/>
    <w:rsid w:val="00C90883"/>
    <w:rsid w:val="00C93973"/>
    <w:rsid w:val="00CA7F5E"/>
    <w:rsid w:val="00CD7958"/>
    <w:rsid w:val="00CF71CB"/>
    <w:rsid w:val="00D25ADB"/>
    <w:rsid w:val="00D344EB"/>
    <w:rsid w:val="00D3579C"/>
    <w:rsid w:val="00D363F1"/>
    <w:rsid w:val="00D522CE"/>
    <w:rsid w:val="00D63474"/>
    <w:rsid w:val="00D74630"/>
    <w:rsid w:val="00D76B89"/>
    <w:rsid w:val="00D816F7"/>
    <w:rsid w:val="00D87566"/>
    <w:rsid w:val="00DC22C1"/>
    <w:rsid w:val="00DC42A2"/>
    <w:rsid w:val="00DF7D90"/>
    <w:rsid w:val="00E05660"/>
    <w:rsid w:val="00E16B73"/>
    <w:rsid w:val="00E40B44"/>
    <w:rsid w:val="00E412FD"/>
    <w:rsid w:val="00E50186"/>
    <w:rsid w:val="00E51F77"/>
    <w:rsid w:val="00EA1596"/>
    <w:rsid w:val="00ED290C"/>
    <w:rsid w:val="00F02FE4"/>
    <w:rsid w:val="00F15C59"/>
    <w:rsid w:val="00F25EC7"/>
    <w:rsid w:val="00F35C97"/>
    <w:rsid w:val="00F361AA"/>
    <w:rsid w:val="00F724D4"/>
    <w:rsid w:val="00F74DB4"/>
    <w:rsid w:val="00FA2AAB"/>
    <w:rsid w:val="00FA722F"/>
    <w:rsid w:val="00FD0DCC"/>
    <w:rsid w:val="00FF27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 w:type="paragraph" w:styleId="Bibliography">
    <w:name w:val="Bibliography"/>
    <w:basedOn w:val="Normal"/>
    <w:next w:val="Normal"/>
    <w:uiPriority w:val="37"/>
    <w:unhideWhenUsed/>
    <w:rsid w:val="00CF71CB"/>
    <w:pPr>
      <w:tabs>
        <w:tab w:val="left" w:pos="0"/>
      </w:tabs>
      <w:spacing w:after="0" w:line="240" w:lineRule="auto"/>
      <w:ind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1529</Words>
  <Characters>8721</Characters>
  <Application>Microsoft Office Word</Application>
  <DocSecurity>0</DocSecurity>
  <Lines>72</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Piero MAZZOLINI</cp:lastModifiedBy>
  <cp:revision>86</cp:revision>
  <dcterms:created xsi:type="dcterms:W3CDTF">2025-06-17T15:28:00Z</dcterms:created>
  <dcterms:modified xsi:type="dcterms:W3CDTF">2025-06-18T09:49:00Z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id="2w8pUBgs"/&gt;&lt;style id="http://www.zotero.org/styles/advanced-functional-materials" hasBibliography="1" bibliographyStyleHasBeenSet="1"/&gt;&lt;prefs&gt;&lt;pref name="fieldType" value="Field"/&gt;&lt;/prefs&gt;&lt;/data&gt;</vt:lpwstr>
  </property>
</Properties>
</file>