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6968" w14:textId="1A354ED1" w:rsidR="00172F51" w:rsidRPr="00B00A4B" w:rsidRDefault="006C7E0C" w:rsidP="00B725CA">
      <w:pPr>
        <w:pStyle w:val="Default"/>
        <w:jc w:val="center"/>
        <w:rPr>
          <w:b/>
          <w:bCs/>
          <w:lang w:val="en-US"/>
        </w:rPr>
      </w:pPr>
      <w:r w:rsidRPr="006C7E0C">
        <w:rPr>
          <w:b/>
          <w:bCs/>
          <w:sz w:val="28"/>
          <w:szCs w:val="28"/>
        </w:rPr>
        <w:t xml:space="preserve">From Crystal Symmetry to Heat Flow: Resolving Anisotropic Transport in </w:t>
      </w:r>
      <w:r w:rsidRPr="006C7E0C">
        <w:rPr>
          <w:b/>
          <w:bCs/>
          <w:sz w:val="28"/>
          <w:szCs w:val="28"/>
          <w:lang w:val="en-US"/>
        </w:rPr>
        <w:t>Ga</w:t>
      </w:r>
      <w:r>
        <w:rPr>
          <w:b/>
          <w:bCs/>
          <w:sz w:val="28"/>
          <w:szCs w:val="28"/>
          <w:lang w:val="en-US"/>
        </w:rPr>
        <w:t>llium Oxide</w:t>
      </w:r>
      <w:r w:rsidRPr="006C7E0C">
        <w:rPr>
          <w:b/>
          <w:bCs/>
          <w:sz w:val="28"/>
          <w:szCs w:val="28"/>
        </w:rPr>
        <w:t xml:space="preserve"> Phases</w:t>
      </w:r>
    </w:p>
    <w:p w14:paraId="35088509" w14:textId="77777777" w:rsidR="00172F51" w:rsidRPr="00B00A4B" w:rsidRDefault="00172F51" w:rsidP="00172F51">
      <w:pPr>
        <w:pStyle w:val="Default"/>
        <w:jc w:val="center"/>
        <w:rPr>
          <w:lang w:val="en-US"/>
        </w:rPr>
      </w:pPr>
    </w:p>
    <w:p w14:paraId="2F2CE3D7" w14:textId="12727B64" w:rsidR="00B725CA" w:rsidRPr="00B725CA" w:rsidRDefault="00B725CA" w:rsidP="00B725CA">
      <w:pPr>
        <w:pStyle w:val="Author"/>
        <w:rPr>
          <w:b w:val="0"/>
          <w:bCs w:val="0"/>
          <w:lang w:val="en-US"/>
        </w:rPr>
      </w:pPr>
      <w:r w:rsidRPr="00B725CA">
        <w:rPr>
          <w:b w:val="0"/>
          <w:bCs w:val="0"/>
          <w:u w:val="single"/>
          <w:lang w:val="en-US"/>
        </w:rPr>
        <w:t>Markus R. Wagner</w:t>
      </w:r>
      <w:r w:rsidRPr="00B725CA">
        <w:rPr>
          <w:b w:val="0"/>
          <w:bCs w:val="0"/>
          <w:u w:val="single"/>
          <w:vertAlign w:val="superscript"/>
          <w:lang w:val="en-US"/>
        </w:rPr>
        <w:t>1,2</w:t>
      </w:r>
      <w:r w:rsidRPr="00B725CA">
        <w:rPr>
          <w:b w:val="0"/>
          <w:bCs w:val="0"/>
          <w:lang w:val="en-US"/>
        </w:rPr>
        <w:t>, Kai Xu</w:t>
      </w:r>
      <w:r w:rsidRPr="00B725CA">
        <w:rPr>
          <w:b w:val="0"/>
          <w:bCs w:val="0"/>
          <w:vertAlign w:val="superscript"/>
          <w:lang w:val="en-US"/>
        </w:rPr>
        <w:t>3</w:t>
      </w:r>
      <w:r w:rsidRPr="00B725CA">
        <w:rPr>
          <w:b w:val="0"/>
          <w:bCs w:val="0"/>
          <w:lang w:val="en-US"/>
        </w:rPr>
        <w:t>, Shuo Zhao</w:t>
      </w:r>
      <w:r w:rsidRPr="00B725CA">
        <w:rPr>
          <w:b w:val="0"/>
          <w:bCs w:val="0"/>
          <w:vertAlign w:val="superscript"/>
          <w:lang w:val="en-US"/>
        </w:rPr>
        <w:t>4,5</w:t>
      </w:r>
      <w:r w:rsidRPr="00B725CA">
        <w:rPr>
          <w:b w:val="0"/>
          <w:bCs w:val="0"/>
          <w:lang w:val="en-US"/>
        </w:rPr>
        <w:t>, Luca Sung-Min Choi</w:t>
      </w:r>
      <w:r w:rsidRPr="00B725CA">
        <w:rPr>
          <w:b w:val="0"/>
          <w:bCs w:val="0"/>
          <w:vertAlign w:val="superscript"/>
          <w:lang w:val="en-US"/>
        </w:rPr>
        <w:t>2</w:t>
      </w:r>
      <w:r w:rsidRPr="00B725CA">
        <w:rPr>
          <w:b w:val="0"/>
          <w:bCs w:val="0"/>
          <w:lang w:val="en-US"/>
        </w:rPr>
        <w:t>, Moritz Meißner</w:t>
      </w:r>
      <w:r w:rsidRPr="00B725CA">
        <w:rPr>
          <w:b w:val="0"/>
          <w:bCs w:val="0"/>
          <w:vertAlign w:val="superscript"/>
          <w:lang w:val="en-US"/>
        </w:rPr>
        <w:t>1,2</w:t>
      </w:r>
      <w:r w:rsidRPr="00B725CA">
        <w:rPr>
          <w:b w:val="0"/>
          <w:bCs w:val="0"/>
          <w:lang w:val="en-US"/>
        </w:rPr>
        <w:t>, Riccardo Mincigrucci</w:t>
      </w:r>
      <w:r w:rsidRPr="00B725CA">
        <w:rPr>
          <w:b w:val="0"/>
          <w:bCs w:val="0"/>
          <w:vertAlign w:val="superscript"/>
          <w:lang w:val="en-US"/>
        </w:rPr>
        <w:t>6</w:t>
      </w:r>
      <w:r w:rsidRPr="00B725CA">
        <w:rPr>
          <w:b w:val="0"/>
          <w:bCs w:val="0"/>
          <w:lang w:val="en-US"/>
        </w:rPr>
        <w:t>, Laura Foglia</w:t>
      </w:r>
      <w:r w:rsidRPr="00B725CA">
        <w:rPr>
          <w:b w:val="0"/>
          <w:bCs w:val="0"/>
          <w:vertAlign w:val="superscript"/>
          <w:lang w:val="en-US"/>
        </w:rPr>
        <w:t>6</w:t>
      </w:r>
      <w:r w:rsidRPr="00B725CA">
        <w:rPr>
          <w:b w:val="0"/>
          <w:bCs w:val="0"/>
          <w:lang w:val="en-US"/>
        </w:rPr>
        <w:t>, Danny Fainozzi</w:t>
      </w:r>
      <w:r w:rsidRPr="00B725CA">
        <w:rPr>
          <w:b w:val="0"/>
          <w:bCs w:val="0"/>
          <w:vertAlign w:val="superscript"/>
          <w:lang w:val="en-US"/>
        </w:rPr>
        <w:t>6</w:t>
      </w:r>
      <w:r w:rsidRPr="00B725CA">
        <w:rPr>
          <w:b w:val="0"/>
          <w:bCs w:val="0"/>
          <w:lang w:val="en-US"/>
        </w:rPr>
        <w:t>, Filippo Bencivenga</w:t>
      </w:r>
      <w:r w:rsidRPr="00B725CA">
        <w:rPr>
          <w:b w:val="0"/>
          <w:bCs w:val="0"/>
          <w:vertAlign w:val="superscript"/>
          <w:lang w:val="en-US"/>
        </w:rPr>
        <w:t>6</w:t>
      </w:r>
      <w:r w:rsidRPr="00B725CA">
        <w:rPr>
          <w:b w:val="0"/>
          <w:bCs w:val="0"/>
          <w:lang w:val="en-US"/>
        </w:rPr>
        <w:t>, Riccardo Rurali</w:t>
      </w:r>
      <w:r w:rsidRPr="00B725CA">
        <w:rPr>
          <w:b w:val="0"/>
          <w:bCs w:val="0"/>
          <w:vertAlign w:val="superscript"/>
          <w:lang w:val="en-US"/>
        </w:rPr>
        <w:t>3</w:t>
      </w:r>
      <w:r w:rsidRPr="00B725CA">
        <w:rPr>
          <w:b w:val="0"/>
          <w:bCs w:val="0"/>
          <w:lang w:val="en-US"/>
        </w:rPr>
        <w:t>, Zbigniew Galazka</w:t>
      </w:r>
      <w:r w:rsidRPr="00B725CA">
        <w:rPr>
          <w:b w:val="0"/>
          <w:bCs w:val="0"/>
          <w:vertAlign w:val="superscript"/>
          <w:lang w:val="en-US"/>
        </w:rPr>
        <w:t>7</w:t>
      </w:r>
      <w:r w:rsidRPr="00B725CA">
        <w:rPr>
          <w:b w:val="0"/>
          <w:bCs w:val="0"/>
          <w:lang w:val="en-US"/>
        </w:rPr>
        <w:t>, George Fytas</w:t>
      </w:r>
      <w:r w:rsidRPr="00B725CA">
        <w:rPr>
          <w:b w:val="0"/>
          <w:bCs w:val="0"/>
          <w:vertAlign w:val="superscript"/>
          <w:lang w:val="en-US"/>
        </w:rPr>
        <w:t>8</w:t>
      </w:r>
      <w:r w:rsidRPr="00B725CA">
        <w:rPr>
          <w:b w:val="0"/>
          <w:bCs w:val="0"/>
          <w:lang w:val="en-US"/>
        </w:rPr>
        <w:t>, Matthias Scheffler</w:t>
      </w:r>
      <w:r w:rsidRPr="00B725CA">
        <w:rPr>
          <w:b w:val="0"/>
          <w:bCs w:val="0"/>
          <w:vertAlign w:val="superscript"/>
          <w:lang w:val="en-US"/>
        </w:rPr>
        <w:t>4,5</w:t>
      </w:r>
      <w:r w:rsidRPr="00B725CA">
        <w:rPr>
          <w:b w:val="0"/>
          <w:bCs w:val="0"/>
          <w:lang w:val="en-US"/>
        </w:rPr>
        <w:t>, Bartlomiej Graczykowski</w:t>
      </w:r>
      <w:r w:rsidRPr="00B725CA">
        <w:rPr>
          <w:b w:val="0"/>
          <w:bCs w:val="0"/>
          <w:vertAlign w:val="superscript"/>
          <w:lang w:val="en-US"/>
        </w:rPr>
        <w:t>8,9</w:t>
      </w:r>
      <w:r w:rsidRPr="00B725CA">
        <w:rPr>
          <w:b w:val="0"/>
          <w:bCs w:val="0"/>
          <w:lang w:val="en-US"/>
        </w:rPr>
        <w:t>, Christian Carbogno</w:t>
      </w:r>
      <w:r w:rsidRPr="00B725CA">
        <w:rPr>
          <w:b w:val="0"/>
          <w:bCs w:val="0"/>
          <w:vertAlign w:val="superscript"/>
          <w:lang w:val="en-US"/>
        </w:rPr>
        <w:t>4,5</w:t>
      </w:r>
      <w:r>
        <w:rPr>
          <w:b w:val="0"/>
          <w:bCs w:val="0"/>
          <w:lang w:val="en-US"/>
        </w:rPr>
        <w:t xml:space="preserve">, </w:t>
      </w:r>
      <w:r w:rsidRPr="00B725CA">
        <w:rPr>
          <w:b w:val="0"/>
          <w:bCs w:val="0"/>
          <w:lang w:val="en-US"/>
        </w:rPr>
        <w:t>Juan Sebastian Reparaz</w:t>
      </w:r>
      <w:r w:rsidRPr="00B725CA">
        <w:rPr>
          <w:b w:val="0"/>
          <w:bCs w:val="0"/>
          <w:vertAlign w:val="superscript"/>
          <w:lang w:val="en-US"/>
        </w:rPr>
        <w:t>3</w:t>
      </w:r>
    </w:p>
    <w:p w14:paraId="53BC243D" w14:textId="77777777" w:rsidR="00B725CA" w:rsidRDefault="00B725CA" w:rsidP="00B725CA">
      <w:pPr>
        <w:pStyle w:val="Affiliation"/>
        <w:rPr>
          <w:lang w:val="de-DE"/>
        </w:rPr>
      </w:pPr>
      <w:r w:rsidRPr="00837871">
        <w:rPr>
          <w:vertAlign w:val="superscript"/>
          <w:lang w:val="de-DE"/>
        </w:rPr>
        <w:t>1</w:t>
      </w:r>
      <w:r w:rsidRPr="005D0A5A">
        <w:rPr>
          <w:lang w:val="de-DE"/>
        </w:rPr>
        <w:t>Paul-Drude-Institut für Festk</w:t>
      </w:r>
      <w:r>
        <w:rPr>
          <w:lang w:val="de-DE"/>
        </w:rPr>
        <w:t>ö</w:t>
      </w:r>
      <w:r w:rsidRPr="005D0A5A">
        <w:rPr>
          <w:lang w:val="de-DE"/>
        </w:rPr>
        <w:t>rperelektronik, Leibniz-Institut im</w:t>
      </w:r>
      <w:r>
        <w:rPr>
          <w:lang w:val="de-DE"/>
        </w:rPr>
        <w:t xml:space="preserve"> </w:t>
      </w:r>
      <w:r w:rsidRPr="005D0A5A">
        <w:rPr>
          <w:lang w:val="de-DE"/>
        </w:rPr>
        <w:t xml:space="preserve">Forschungsverbund Berlin e.V., </w:t>
      </w:r>
      <w:r>
        <w:rPr>
          <w:lang w:val="de-DE"/>
        </w:rPr>
        <w:br/>
      </w:r>
      <w:r w:rsidRPr="005D0A5A">
        <w:rPr>
          <w:lang w:val="de-DE"/>
        </w:rPr>
        <w:t>Hausvogteiplatz 5</w:t>
      </w:r>
      <w:r w:rsidRPr="005D0A5A">
        <w:rPr>
          <w:rFonts w:hint="eastAsia"/>
          <w:lang w:val="de-DE"/>
        </w:rPr>
        <w:t>–</w:t>
      </w:r>
      <w:r w:rsidRPr="005D0A5A">
        <w:rPr>
          <w:lang w:val="de-DE"/>
        </w:rPr>
        <w:t>7, 10117 Berlin, Germany</w:t>
      </w:r>
    </w:p>
    <w:p w14:paraId="376097CB" w14:textId="77777777" w:rsidR="00B725CA" w:rsidRPr="005D0A5A" w:rsidRDefault="00B725CA" w:rsidP="00B725CA">
      <w:pPr>
        <w:pStyle w:val="Affiliation"/>
        <w:rPr>
          <w:lang w:val="de-DE"/>
        </w:rPr>
      </w:pPr>
      <w:r w:rsidRPr="00837871">
        <w:rPr>
          <w:vertAlign w:val="superscript"/>
          <w:lang w:val="de-DE"/>
        </w:rPr>
        <w:t>2</w:t>
      </w:r>
      <w:r w:rsidRPr="005D0A5A">
        <w:rPr>
          <w:lang w:val="de-DE"/>
        </w:rPr>
        <w:t>Technische Universit</w:t>
      </w:r>
      <w:r>
        <w:rPr>
          <w:lang w:val="de-DE"/>
        </w:rPr>
        <w:t>ä</w:t>
      </w:r>
      <w:r w:rsidRPr="005D0A5A">
        <w:rPr>
          <w:lang w:val="de-DE"/>
        </w:rPr>
        <w:t>t Berlin, Institut f</w:t>
      </w:r>
      <w:r>
        <w:rPr>
          <w:lang w:val="de-DE"/>
        </w:rPr>
        <w:t>ü</w:t>
      </w:r>
      <w:r w:rsidRPr="005D0A5A">
        <w:rPr>
          <w:lang w:val="de-DE"/>
        </w:rPr>
        <w:t>r Festk</w:t>
      </w:r>
      <w:r>
        <w:rPr>
          <w:lang w:val="de-DE"/>
        </w:rPr>
        <w:t>ö</w:t>
      </w:r>
      <w:r w:rsidRPr="005D0A5A">
        <w:rPr>
          <w:lang w:val="de-DE"/>
        </w:rPr>
        <w:t>rperphysik, Hardenbergstrase 36, 10623 Berlin, Germany</w:t>
      </w:r>
    </w:p>
    <w:p w14:paraId="0FAC1799" w14:textId="77777777" w:rsidR="00B725CA" w:rsidRPr="005D0A5A" w:rsidRDefault="00B725CA" w:rsidP="00B725CA">
      <w:pPr>
        <w:pStyle w:val="Affiliation"/>
        <w:rPr>
          <w:lang w:val="en-US"/>
        </w:rPr>
      </w:pPr>
      <w:r>
        <w:rPr>
          <w:vertAlign w:val="superscript"/>
          <w:lang w:val="en-US"/>
        </w:rPr>
        <w:t>3</w:t>
      </w:r>
      <w:r w:rsidRPr="005D0A5A">
        <w:rPr>
          <w:lang w:val="en-US"/>
        </w:rPr>
        <w:t>Institut de Ciencia de Materials de Barcelona, ICMAB-CSIC, Campus UAB, 08193 Bellaterra, Spain</w:t>
      </w:r>
    </w:p>
    <w:p w14:paraId="5811FBAF" w14:textId="77777777" w:rsidR="00B725CA" w:rsidRPr="005D0A5A" w:rsidRDefault="00B725CA" w:rsidP="00B725CA">
      <w:pPr>
        <w:pStyle w:val="Affiliation"/>
        <w:rPr>
          <w:lang w:val="en-US"/>
        </w:rPr>
      </w:pPr>
      <w:r w:rsidRPr="00FA7931">
        <w:rPr>
          <w:vertAlign w:val="superscript"/>
          <w:lang w:val="en-US"/>
        </w:rPr>
        <w:t>4</w:t>
      </w:r>
      <w:r w:rsidRPr="005D0A5A">
        <w:rPr>
          <w:lang w:val="en-US"/>
        </w:rPr>
        <w:t>The NOMAD Laboratory at the FHI of the Max-Planck-Gesellschaft</w:t>
      </w:r>
    </w:p>
    <w:p w14:paraId="44F13DC5" w14:textId="3DBCB9FC" w:rsidR="00B725CA" w:rsidRPr="005D0A5A" w:rsidRDefault="00B725CA" w:rsidP="00B725CA">
      <w:pPr>
        <w:pStyle w:val="Affiliation"/>
        <w:rPr>
          <w:lang w:val="en-US"/>
        </w:rPr>
      </w:pPr>
      <w:r w:rsidRPr="00FA7931">
        <w:rPr>
          <w:vertAlign w:val="superscript"/>
          <w:lang w:val="en-US"/>
        </w:rPr>
        <w:t>5</w:t>
      </w:r>
      <w:r w:rsidRPr="005D0A5A">
        <w:rPr>
          <w:lang w:val="en-US"/>
        </w:rPr>
        <w:t>IRIS-Adlershof of the Humboldt-Universit</w:t>
      </w:r>
      <w:r w:rsidR="006C7E0C">
        <w:rPr>
          <w:lang w:val="en-US"/>
        </w:rPr>
        <w:t>ä</w:t>
      </w:r>
      <w:r w:rsidRPr="005D0A5A">
        <w:rPr>
          <w:lang w:val="en-US"/>
        </w:rPr>
        <w:t>t zu Berlin</w:t>
      </w:r>
    </w:p>
    <w:p w14:paraId="75DB7632" w14:textId="77777777" w:rsidR="00B725CA" w:rsidRPr="005D0A5A" w:rsidRDefault="00B725CA" w:rsidP="00B725CA">
      <w:pPr>
        <w:pStyle w:val="Affiliation"/>
        <w:rPr>
          <w:lang w:val="en-US"/>
        </w:rPr>
      </w:pPr>
      <w:r w:rsidRPr="005D0A5A">
        <w:rPr>
          <w:vertAlign w:val="superscript"/>
          <w:lang w:val="en-US"/>
        </w:rPr>
        <w:t>6</w:t>
      </w:r>
      <w:r w:rsidRPr="005D0A5A">
        <w:rPr>
          <w:lang w:val="en-US"/>
        </w:rPr>
        <w:t>Elettra Sincrotrone Trieste S.C.p.A., Strada Statale 14, km 163.5, 34149 Basovizza (TS), Italy</w:t>
      </w:r>
    </w:p>
    <w:p w14:paraId="7F524EE0" w14:textId="77777777" w:rsidR="00B725CA" w:rsidRPr="005D0A5A" w:rsidRDefault="00B725CA" w:rsidP="00B725CA">
      <w:pPr>
        <w:pStyle w:val="Affiliation"/>
        <w:rPr>
          <w:lang w:val="en-US"/>
        </w:rPr>
      </w:pPr>
      <w:r w:rsidRPr="005D0A5A">
        <w:rPr>
          <w:vertAlign w:val="superscript"/>
          <w:lang w:val="en-US"/>
        </w:rPr>
        <w:t>7</w:t>
      </w:r>
      <w:r w:rsidRPr="005D0A5A">
        <w:rPr>
          <w:lang w:val="en-US"/>
        </w:rPr>
        <w:t>Leibniz Institute for Crystal Growth, Max-Born-Str. 2, 12489 Berlin, Germany</w:t>
      </w:r>
    </w:p>
    <w:p w14:paraId="13A8EB2D" w14:textId="77777777" w:rsidR="00B725CA" w:rsidRPr="005D0A5A" w:rsidRDefault="00B725CA" w:rsidP="00B725CA">
      <w:pPr>
        <w:pStyle w:val="Affiliation"/>
        <w:rPr>
          <w:lang w:val="en-US"/>
        </w:rPr>
      </w:pPr>
      <w:r w:rsidRPr="005D0A5A">
        <w:rPr>
          <w:vertAlign w:val="superscript"/>
          <w:lang w:val="en-US"/>
        </w:rPr>
        <w:t>8</w:t>
      </w:r>
      <w:r w:rsidRPr="005D0A5A">
        <w:rPr>
          <w:lang w:val="en-US"/>
        </w:rPr>
        <w:t>Max Planck Institute for Polymer Research, Ackermannweg 10, 55128 Mainz, Germany</w:t>
      </w:r>
    </w:p>
    <w:p w14:paraId="5252E44E" w14:textId="77777777" w:rsidR="00B725CA" w:rsidRDefault="00B725CA" w:rsidP="00B725CA">
      <w:pPr>
        <w:pStyle w:val="Affiliation"/>
        <w:rPr>
          <w:lang w:val="en-US"/>
        </w:rPr>
      </w:pPr>
      <w:r w:rsidRPr="005D0A5A">
        <w:rPr>
          <w:vertAlign w:val="superscript"/>
          <w:lang w:val="en-US"/>
        </w:rPr>
        <w:t>9</w:t>
      </w:r>
      <w:r w:rsidRPr="005D0A5A">
        <w:rPr>
          <w:lang w:val="en-US"/>
        </w:rPr>
        <w:t>Faculty of Physics, Adam Mickiewicz University,</w:t>
      </w:r>
      <w:r>
        <w:rPr>
          <w:lang w:val="en-US"/>
        </w:rPr>
        <w:t xml:space="preserve"> </w:t>
      </w:r>
      <w:r w:rsidRPr="004B5153">
        <w:rPr>
          <w:lang w:val="en-US"/>
        </w:rPr>
        <w:t>Uniwersytetu Poznanskiego 2, 61-614 Poznan, Poland</w:t>
      </w:r>
    </w:p>
    <w:p w14:paraId="2598096B" w14:textId="510E19FC" w:rsidR="00B725CA" w:rsidRPr="005D0A5A" w:rsidRDefault="00B725CA" w:rsidP="00B725CA">
      <w:pPr>
        <w:pStyle w:val="Affiliation"/>
        <w:rPr>
          <w:lang w:val="de-DE"/>
        </w:rPr>
      </w:pPr>
      <w:r>
        <w:rPr>
          <w:lang w:val="de-DE"/>
        </w:rPr>
        <w:t>wagner@pdi-berlin.de</w:t>
      </w:r>
    </w:p>
    <w:p w14:paraId="536DF3AA" w14:textId="77777777" w:rsidR="00172F51" w:rsidRDefault="00172F51" w:rsidP="00172F51">
      <w:pPr>
        <w:pStyle w:val="Default"/>
        <w:jc w:val="center"/>
        <w:rPr>
          <w:i/>
          <w:iCs/>
          <w:sz w:val="22"/>
          <w:szCs w:val="22"/>
          <w:lang w:val="en-US"/>
        </w:rPr>
      </w:pPr>
    </w:p>
    <w:p w14:paraId="20662526" w14:textId="6AFCA8B8" w:rsidR="00B725CA" w:rsidRPr="00B725CA" w:rsidRDefault="00B725CA" w:rsidP="00B725CA">
      <w:pPr>
        <w:spacing w:after="120" w:line="240" w:lineRule="auto"/>
        <w:jc w:val="both"/>
        <w:rPr>
          <w:rFonts w:ascii="Times New Roman" w:hAnsi="Times New Roman"/>
          <w:sz w:val="24"/>
          <w:lang w:val="en-US" w:eastAsia="en-US"/>
        </w:rPr>
      </w:pPr>
      <w:r w:rsidRPr="00B725CA">
        <w:rPr>
          <w:rFonts w:ascii="Times New Roman" w:hAnsi="Times New Roman"/>
          <w:sz w:val="24"/>
          <w:lang w:val="en-US" w:eastAsia="en-US"/>
        </w:rPr>
        <w:t xml:space="preserve">In low-symmetry </w:t>
      </w:r>
      <w:r>
        <w:rPr>
          <w:rFonts w:ascii="Times New Roman" w:hAnsi="Times New Roman"/>
          <w:sz w:val="24"/>
          <w:lang w:val="en-US" w:eastAsia="en-US"/>
        </w:rPr>
        <w:t xml:space="preserve">monoclinic crystals with </w:t>
      </w:r>
      <w:r w:rsidRPr="00B725CA">
        <w:rPr>
          <w:rFonts w:ascii="Times New Roman" w:hAnsi="Times New Roman"/>
          <w:sz w:val="24"/>
          <w:lang w:val="en-US" w:eastAsia="en-US"/>
        </w:rPr>
        <w:t>non-orthogonal axes</w:t>
      </w:r>
      <w:r>
        <w:rPr>
          <w:rFonts w:ascii="Times New Roman" w:hAnsi="Times New Roman"/>
          <w:sz w:val="24"/>
          <w:lang w:val="en-US" w:eastAsia="en-US"/>
        </w:rPr>
        <w:t xml:space="preserve"> </w:t>
      </w:r>
      <w:r w:rsidRPr="00B725CA">
        <w:rPr>
          <w:rFonts w:ascii="Times New Roman" w:hAnsi="Times New Roman"/>
          <w:sz w:val="24"/>
          <w:lang w:val="en-US" w:eastAsia="en-US"/>
        </w:rPr>
        <w:t>the anisotropic nature of properties such as elasticity and dielectric response gives rise to unconventional phenomena, including hyperbolic sheer polaritons</w:t>
      </w:r>
      <w:r w:rsidRPr="00B725CA">
        <w:rPr>
          <w:rFonts w:ascii="Times New Roman" w:hAnsi="Times New Roman"/>
          <w:sz w:val="24"/>
          <w:vertAlign w:val="superscript"/>
          <w:lang w:val="en-US" w:eastAsia="en-US"/>
        </w:rPr>
        <w:t>1</w:t>
      </w:r>
      <w:r w:rsidRPr="00B725CA">
        <w:rPr>
          <w:rFonts w:ascii="Times New Roman" w:hAnsi="Times New Roman"/>
          <w:sz w:val="24"/>
          <w:lang w:val="en-US" w:eastAsia="en-US"/>
        </w:rPr>
        <w:t>, charge density waves or topological phase transitions not observed in higher symmetry materials</w:t>
      </w:r>
      <w:r w:rsidRPr="00B725CA">
        <w:rPr>
          <w:rFonts w:ascii="Times New Roman" w:hAnsi="Times New Roman"/>
          <w:sz w:val="24"/>
          <w:vertAlign w:val="superscript"/>
          <w:lang w:val="en-US" w:eastAsia="en-US"/>
        </w:rPr>
        <w:t>2</w:t>
      </w:r>
      <w:r w:rsidRPr="00B725CA">
        <w:rPr>
          <w:rFonts w:ascii="Times New Roman" w:hAnsi="Times New Roman"/>
          <w:sz w:val="24"/>
          <w:lang w:val="en-US" w:eastAsia="en-US"/>
        </w:rPr>
        <w:t>.</w:t>
      </w:r>
      <w:r>
        <w:rPr>
          <w:rFonts w:ascii="Times New Roman" w:hAnsi="Times New Roman"/>
          <w:sz w:val="24"/>
          <w:lang w:val="en-US" w:eastAsia="en-US"/>
        </w:rPr>
        <w:t xml:space="preserve"> In this work, w</w:t>
      </w:r>
      <w:r w:rsidRPr="00B725CA">
        <w:rPr>
          <w:rFonts w:ascii="Times New Roman" w:hAnsi="Times New Roman"/>
          <w:sz w:val="24"/>
          <w:lang w:val="en-US" w:eastAsia="en-US"/>
        </w:rPr>
        <w:t xml:space="preserve">e present a comprehensive, contactless investigation into the anisotropic </w:t>
      </w:r>
      <w:r>
        <w:rPr>
          <w:rFonts w:ascii="Times New Roman" w:hAnsi="Times New Roman"/>
          <w:sz w:val="24"/>
          <w:lang w:val="en-US" w:eastAsia="en-US"/>
        </w:rPr>
        <w:t>phonon-governed</w:t>
      </w:r>
      <w:r w:rsidRPr="00B725CA">
        <w:rPr>
          <w:rFonts w:ascii="Times New Roman" w:hAnsi="Times New Roman"/>
          <w:sz w:val="24"/>
          <w:lang w:val="en-US" w:eastAsia="en-US"/>
        </w:rPr>
        <w:t xml:space="preserve"> properties of</w:t>
      </w:r>
      <w:r>
        <w:rPr>
          <w:rFonts w:ascii="Times New Roman" w:hAnsi="Times New Roman"/>
          <w:sz w:val="24"/>
          <w:lang w:val="en-US" w:eastAsia="en-US"/>
        </w:rPr>
        <w:t xml:space="preserve"> the ultra-wide bandgap semiconductor</w:t>
      </w:r>
      <w:r w:rsidRPr="00B725CA">
        <w:rPr>
          <w:rFonts w:ascii="Times New Roman" w:hAnsi="Times New Roman"/>
          <w:sz w:val="24"/>
          <w:lang w:val="en-US" w:eastAsia="en-US"/>
        </w:rPr>
        <w:t xml:space="preserve"> Ga₂O₃, with a focus on both nanoscale phonon dynamics and nanoscale thermal transport phenomena</w:t>
      </w:r>
      <w:r w:rsidRPr="00B725CA">
        <w:rPr>
          <w:rFonts w:ascii="Times New Roman" w:hAnsi="Times New Roman"/>
          <w:sz w:val="24"/>
          <w:vertAlign w:val="superscript"/>
          <w:lang w:val="en-US" w:eastAsia="en-US"/>
        </w:rPr>
        <w:t>3</w:t>
      </w:r>
      <w:r w:rsidRPr="00B725CA">
        <w:rPr>
          <w:rFonts w:ascii="Times New Roman" w:hAnsi="Times New Roman"/>
          <w:sz w:val="24"/>
          <w:lang w:val="en-US" w:eastAsia="en-US"/>
        </w:rPr>
        <w:t>. We employ a suite of complementary, all-optical spectroscopic techniques to map phonon behavior over multiple frequency and length scales. Anisotropic thermoreflectance thermometry provides sub-degree angular resolution of in-plane responses</w:t>
      </w:r>
      <w:r w:rsidRPr="00B725CA">
        <w:rPr>
          <w:rFonts w:ascii="Times New Roman" w:hAnsi="Times New Roman"/>
          <w:sz w:val="24"/>
          <w:vertAlign w:val="superscript"/>
          <w:lang w:val="en-US" w:eastAsia="en-US"/>
        </w:rPr>
        <w:t>4</w:t>
      </w:r>
      <w:r w:rsidRPr="00B725CA">
        <w:rPr>
          <w:rFonts w:ascii="Times New Roman" w:hAnsi="Times New Roman"/>
          <w:sz w:val="24"/>
          <w:lang w:val="en-US" w:eastAsia="en-US"/>
        </w:rPr>
        <w:t>, while polarized, angle-resolved Brillouin light scattering (BLS) probes acoustic phonons to extract the anisotropy of phonon phase velocities</w:t>
      </w:r>
      <w:r w:rsidRPr="00B725CA">
        <w:rPr>
          <w:rFonts w:ascii="Times New Roman" w:hAnsi="Times New Roman"/>
          <w:sz w:val="24"/>
          <w:vertAlign w:val="superscript"/>
          <w:lang w:val="en-US" w:eastAsia="en-US"/>
        </w:rPr>
        <w:t>5</w:t>
      </w:r>
      <w:r w:rsidRPr="00B725CA">
        <w:rPr>
          <w:rFonts w:ascii="Times New Roman" w:hAnsi="Times New Roman"/>
          <w:sz w:val="24"/>
          <w:lang w:val="en-US" w:eastAsia="en-US"/>
        </w:rPr>
        <w:t>.</w:t>
      </w:r>
    </w:p>
    <w:p w14:paraId="24F9E3C6" w14:textId="74BD3083" w:rsidR="00B725CA" w:rsidRPr="00B725CA" w:rsidRDefault="00B725CA" w:rsidP="00B725CA">
      <w:pPr>
        <w:spacing w:after="120" w:line="240" w:lineRule="auto"/>
        <w:jc w:val="both"/>
        <w:rPr>
          <w:rFonts w:ascii="Times New Roman" w:hAnsi="Times New Roman"/>
          <w:sz w:val="24"/>
          <w:lang w:val="en-US" w:eastAsia="en-US"/>
        </w:rPr>
      </w:pPr>
      <w:r w:rsidRPr="00B725CA">
        <w:rPr>
          <w:rFonts w:ascii="Times New Roman" w:hAnsi="Times New Roman"/>
          <w:sz w:val="24"/>
          <w:lang w:val="en-US" w:eastAsia="en-US"/>
        </w:rPr>
        <w:t>Most notably, extreme UV transient grating spectroscopy experiments performed at the FERMI free-electron laser facility enable access to grating spacings as short as 26 nm</w:t>
      </w:r>
      <w:r w:rsidRPr="00B725CA">
        <w:rPr>
          <w:rFonts w:ascii="Times New Roman" w:hAnsi="Times New Roman"/>
          <w:sz w:val="24"/>
          <w:vertAlign w:val="superscript"/>
          <w:lang w:val="en-US" w:eastAsia="en-US"/>
        </w:rPr>
        <w:t>6</w:t>
      </w:r>
      <w:r w:rsidRPr="00B725CA">
        <w:rPr>
          <w:rFonts w:ascii="Times New Roman" w:hAnsi="Times New Roman"/>
          <w:sz w:val="24"/>
          <w:lang w:val="en-US" w:eastAsia="en-US"/>
        </w:rPr>
        <w:t>. This capability is crucial for isolating phonon contributions with varying mean free paths, including those relevant to nanoscale thermal transport that are elusive in conventional setups. Variation of the nanoscale grating spacing and temperature enables high and low frequency band-pass filtering in the THz regime. Furthermore, the transient responses reveal multiple oscillatory modes - attributable to GHz surface acoustic waves which reveal characteristic anisotropy.</w:t>
      </w:r>
      <w:r>
        <w:rPr>
          <w:rFonts w:ascii="Times New Roman" w:hAnsi="Times New Roman"/>
          <w:sz w:val="24"/>
          <w:lang w:val="en-US" w:eastAsia="en-US"/>
        </w:rPr>
        <w:t xml:space="preserve"> </w:t>
      </w:r>
      <w:r w:rsidRPr="00B725CA">
        <w:rPr>
          <w:rFonts w:ascii="Times New Roman" w:hAnsi="Times New Roman"/>
          <w:sz w:val="24"/>
          <w:lang w:val="en-US" w:eastAsia="en-US"/>
        </w:rPr>
        <w:t>To complement our experimental findings, we perform ab-initio Green-Kubo calculations</w:t>
      </w:r>
      <w:r w:rsidRPr="00B725CA">
        <w:rPr>
          <w:rFonts w:ascii="Times New Roman" w:hAnsi="Times New Roman"/>
          <w:sz w:val="24"/>
          <w:vertAlign w:val="superscript"/>
          <w:lang w:val="en-US" w:eastAsia="en-US"/>
        </w:rPr>
        <w:t>7</w:t>
      </w:r>
      <w:r w:rsidRPr="00B725CA">
        <w:rPr>
          <w:rFonts w:ascii="Times New Roman" w:hAnsi="Times New Roman"/>
          <w:sz w:val="24"/>
          <w:lang w:val="en-US" w:eastAsia="en-US"/>
        </w:rPr>
        <w:t xml:space="preserve"> and Boltzmann Transport Equation (BTE) simulations to capture non-equilibrium phonon interactions and the interplay between phononic properties and thermal conductivity anisotropy. Our results deepen the understanding of anisotropic </w:t>
      </w:r>
      <w:r>
        <w:rPr>
          <w:rFonts w:ascii="Times New Roman" w:hAnsi="Times New Roman"/>
          <w:sz w:val="24"/>
          <w:lang w:val="en-US" w:eastAsia="en-US"/>
        </w:rPr>
        <w:t xml:space="preserve">thermal transport </w:t>
      </w:r>
      <w:r w:rsidRPr="00B725CA">
        <w:rPr>
          <w:rFonts w:ascii="Times New Roman" w:hAnsi="Times New Roman"/>
          <w:sz w:val="24"/>
          <w:lang w:val="en-US" w:eastAsia="en-US"/>
        </w:rPr>
        <w:t xml:space="preserve">in </w:t>
      </w:r>
      <w:r>
        <w:rPr>
          <w:rFonts w:ascii="Times New Roman" w:hAnsi="Times New Roman"/>
          <w:sz w:val="24"/>
          <w:lang w:val="en-US" w:eastAsia="en-US"/>
        </w:rPr>
        <w:t xml:space="preserve">transparent conductive metal-oxides </w:t>
      </w:r>
      <w:r w:rsidRPr="00B725CA">
        <w:rPr>
          <w:rFonts w:ascii="Times New Roman" w:hAnsi="Times New Roman"/>
          <w:sz w:val="24"/>
          <w:lang w:val="en-US" w:eastAsia="en-US"/>
        </w:rPr>
        <w:t xml:space="preserve">and </w:t>
      </w:r>
      <w:r>
        <w:rPr>
          <w:rFonts w:ascii="Times New Roman" w:hAnsi="Times New Roman"/>
          <w:sz w:val="24"/>
          <w:lang w:val="en-US" w:eastAsia="en-US"/>
        </w:rPr>
        <w:t>provide guidelines for optimized heat dissipation.</w:t>
      </w:r>
    </w:p>
    <w:p w14:paraId="0B910603" w14:textId="77777777" w:rsidR="00B725CA" w:rsidRPr="00B725CA" w:rsidRDefault="00B725CA" w:rsidP="00B725CA">
      <w:pPr>
        <w:spacing w:after="0"/>
        <w:rPr>
          <w:b/>
          <w:bCs/>
          <w:lang w:val="de-DE"/>
        </w:rPr>
      </w:pPr>
      <w:r w:rsidRPr="00B725CA">
        <w:rPr>
          <w:b/>
          <w:bCs/>
          <w:lang w:val="de-DE"/>
        </w:rPr>
        <w:t>References</w:t>
      </w:r>
    </w:p>
    <w:p w14:paraId="55A0650C" w14:textId="72589D3E" w:rsidR="00B725CA" w:rsidRPr="00B725CA" w:rsidRDefault="00B725CA" w:rsidP="00B725CA">
      <w:pPr>
        <w:pStyle w:val="References"/>
        <w:rPr>
          <w:lang w:val="de-DE"/>
        </w:rPr>
      </w:pPr>
      <w:r w:rsidRPr="00B725CA">
        <w:rPr>
          <w:vertAlign w:val="superscript"/>
          <w:lang w:val="de-DE"/>
        </w:rPr>
        <w:t>1</w:t>
      </w:r>
      <w:r w:rsidRPr="00B725CA">
        <w:rPr>
          <w:lang w:val="de-DE"/>
        </w:rPr>
        <w:t xml:space="preserve"> N. C. Passler, </w:t>
      </w:r>
      <w:r w:rsidRPr="00B725CA">
        <w:rPr>
          <w:lang w:val="de-DE"/>
        </w:rPr>
        <w:t>e</w:t>
      </w:r>
      <w:r>
        <w:rPr>
          <w:lang w:val="de-DE"/>
        </w:rPr>
        <w:t xml:space="preserve">t al., </w:t>
      </w:r>
      <w:r w:rsidRPr="00B725CA">
        <w:rPr>
          <w:i/>
          <w:iCs/>
          <w:lang w:val="de-DE"/>
        </w:rPr>
        <w:t>Nature</w:t>
      </w:r>
      <w:r w:rsidRPr="00B725CA">
        <w:rPr>
          <w:lang w:val="de-DE"/>
        </w:rPr>
        <w:t xml:space="preserve"> </w:t>
      </w:r>
      <w:r w:rsidRPr="00B725CA">
        <w:rPr>
          <w:b/>
          <w:bCs/>
          <w:lang w:val="de-DE"/>
        </w:rPr>
        <w:t>602</w:t>
      </w:r>
      <w:r w:rsidRPr="00B725CA">
        <w:rPr>
          <w:lang w:val="de-DE"/>
        </w:rPr>
        <w:t>, 595 (2022).</w:t>
      </w:r>
    </w:p>
    <w:p w14:paraId="055173E6" w14:textId="67403320" w:rsidR="00B725CA" w:rsidRPr="00B725CA" w:rsidRDefault="00B725CA" w:rsidP="00B725CA">
      <w:pPr>
        <w:pStyle w:val="References"/>
        <w:rPr>
          <w:lang w:val="de-DE"/>
        </w:rPr>
      </w:pPr>
      <w:r w:rsidRPr="00B725CA">
        <w:rPr>
          <w:vertAlign w:val="superscript"/>
          <w:lang w:val="de-DE"/>
        </w:rPr>
        <w:t xml:space="preserve">2 </w:t>
      </w:r>
      <w:r w:rsidRPr="00B725CA">
        <w:rPr>
          <w:lang w:val="de-DE"/>
        </w:rPr>
        <w:t>D. N. Basov</w:t>
      </w:r>
      <w:r w:rsidRPr="00B725CA">
        <w:rPr>
          <w:lang w:val="de-DE"/>
        </w:rPr>
        <w:t xml:space="preserve"> et al., </w:t>
      </w:r>
      <w:r w:rsidRPr="00B725CA">
        <w:rPr>
          <w:i/>
          <w:iCs/>
          <w:lang w:val="de-DE"/>
        </w:rPr>
        <w:t>Nature Materials</w:t>
      </w:r>
      <w:r w:rsidRPr="00B725CA">
        <w:rPr>
          <w:lang w:val="de-DE"/>
        </w:rPr>
        <w:t xml:space="preserve"> </w:t>
      </w:r>
      <w:r w:rsidRPr="00B725CA">
        <w:rPr>
          <w:b/>
          <w:bCs/>
          <w:lang w:val="de-DE"/>
        </w:rPr>
        <w:t>16</w:t>
      </w:r>
      <w:r w:rsidRPr="00B725CA">
        <w:rPr>
          <w:lang w:val="de-DE"/>
        </w:rPr>
        <w:t>, 1077 (2017).</w:t>
      </w:r>
    </w:p>
    <w:p w14:paraId="20D7FFAB" w14:textId="4FA67F7B" w:rsidR="00B725CA" w:rsidRPr="00B725CA" w:rsidRDefault="00B725CA" w:rsidP="00B725CA">
      <w:pPr>
        <w:pStyle w:val="References"/>
        <w:rPr>
          <w:lang w:val="en-US"/>
        </w:rPr>
      </w:pPr>
      <w:r w:rsidRPr="00B725CA">
        <w:rPr>
          <w:vertAlign w:val="superscript"/>
          <w:lang w:val="en-US"/>
        </w:rPr>
        <w:t>3</w:t>
      </w:r>
      <w:r w:rsidRPr="00B725CA">
        <w:rPr>
          <w:lang w:val="en-US"/>
        </w:rPr>
        <w:t xml:space="preserve"> K. Xu</w:t>
      </w:r>
      <w:r w:rsidRPr="00B725CA">
        <w:rPr>
          <w:lang w:val="en-US"/>
        </w:rPr>
        <w:t xml:space="preserve"> et al., </w:t>
      </w:r>
      <w:r w:rsidRPr="00B725CA">
        <w:rPr>
          <w:lang w:val="en-US"/>
        </w:rPr>
        <w:t xml:space="preserve">submitted to </w:t>
      </w:r>
      <w:r w:rsidRPr="00B725CA">
        <w:rPr>
          <w:i/>
          <w:iCs/>
          <w:lang w:val="en-US"/>
        </w:rPr>
        <w:t>ACS Nano</w:t>
      </w:r>
      <w:r w:rsidRPr="00B725CA">
        <w:rPr>
          <w:lang w:val="en-US"/>
        </w:rPr>
        <w:t xml:space="preserve"> (2025).</w:t>
      </w:r>
    </w:p>
    <w:p w14:paraId="1978170B" w14:textId="207A0FA4" w:rsidR="00B725CA" w:rsidRDefault="00B725CA" w:rsidP="00B725CA">
      <w:pPr>
        <w:pStyle w:val="References"/>
        <w:rPr>
          <w:lang w:val="en-US"/>
        </w:rPr>
      </w:pPr>
      <w:r w:rsidRPr="00B725CA">
        <w:rPr>
          <w:vertAlign w:val="superscript"/>
          <w:lang w:val="en-US"/>
        </w:rPr>
        <w:t>4</w:t>
      </w:r>
      <w:r w:rsidRPr="00B725CA">
        <w:rPr>
          <w:lang w:val="en-US"/>
        </w:rPr>
        <w:t xml:space="preserve"> L. A. Perez</w:t>
      </w:r>
      <w:r w:rsidRPr="00B725CA">
        <w:rPr>
          <w:lang w:val="en-US"/>
        </w:rPr>
        <w:t xml:space="preserve"> et al., </w:t>
      </w:r>
      <w:r w:rsidRPr="00300FB9">
        <w:rPr>
          <w:i/>
          <w:iCs/>
          <w:lang w:val="en-US"/>
        </w:rPr>
        <w:t>Review of Scientific Instruments</w:t>
      </w:r>
      <w:r w:rsidRPr="00300FB9">
        <w:rPr>
          <w:lang w:val="en-US"/>
        </w:rPr>
        <w:t xml:space="preserve"> </w:t>
      </w:r>
      <w:r w:rsidRPr="00300FB9">
        <w:rPr>
          <w:b/>
          <w:bCs/>
          <w:lang w:val="en-US"/>
        </w:rPr>
        <w:t>93</w:t>
      </w:r>
      <w:r w:rsidRPr="00300FB9">
        <w:rPr>
          <w:lang w:val="en-US"/>
        </w:rPr>
        <w:t>,</w:t>
      </w:r>
      <w:r>
        <w:rPr>
          <w:lang w:val="en-US"/>
        </w:rPr>
        <w:t xml:space="preserve"> </w:t>
      </w:r>
      <w:r w:rsidRPr="00300FB9">
        <w:rPr>
          <w:lang w:val="en-US"/>
        </w:rPr>
        <w:t>034902 (2022)</w:t>
      </w:r>
      <w:r>
        <w:rPr>
          <w:lang w:val="en-US"/>
        </w:rPr>
        <w:t>.</w:t>
      </w:r>
    </w:p>
    <w:p w14:paraId="64543AA8" w14:textId="14F8995F" w:rsidR="00B725CA" w:rsidRPr="00B725CA" w:rsidRDefault="00B725CA" w:rsidP="00B725CA">
      <w:pPr>
        <w:pStyle w:val="References"/>
        <w:rPr>
          <w:lang w:val="en-US"/>
        </w:rPr>
      </w:pPr>
      <w:r w:rsidRPr="00627A24">
        <w:rPr>
          <w:vertAlign w:val="superscript"/>
          <w:lang w:val="en-US"/>
        </w:rPr>
        <w:t>5</w:t>
      </w:r>
      <w:r>
        <w:rPr>
          <w:lang w:val="en-US"/>
        </w:rPr>
        <w:t xml:space="preserve"> </w:t>
      </w:r>
      <w:r w:rsidRPr="00627A24">
        <w:rPr>
          <w:lang w:val="en-US"/>
        </w:rPr>
        <w:t>B</w:t>
      </w:r>
      <w:r>
        <w:rPr>
          <w:lang w:val="en-US"/>
        </w:rPr>
        <w:t xml:space="preserve">. </w:t>
      </w:r>
      <w:r w:rsidRPr="00627A24">
        <w:rPr>
          <w:lang w:val="en-US"/>
        </w:rPr>
        <w:t>Graczykowski</w:t>
      </w:r>
      <w:r>
        <w:rPr>
          <w:lang w:val="en-US"/>
        </w:rPr>
        <w:t xml:space="preserve"> et al., </w:t>
      </w:r>
      <w:r w:rsidRPr="00B725CA">
        <w:rPr>
          <w:i/>
          <w:iCs/>
          <w:lang w:val="en-US"/>
        </w:rPr>
        <w:t>Physical Review B</w:t>
      </w:r>
      <w:r w:rsidRPr="00B725CA">
        <w:rPr>
          <w:lang w:val="en-US"/>
        </w:rPr>
        <w:t xml:space="preserve"> </w:t>
      </w:r>
      <w:r w:rsidRPr="00B725CA">
        <w:rPr>
          <w:b/>
          <w:bCs/>
          <w:lang w:val="en-US"/>
        </w:rPr>
        <w:t>91</w:t>
      </w:r>
      <w:r w:rsidRPr="00B725CA">
        <w:rPr>
          <w:lang w:val="en-US"/>
        </w:rPr>
        <w:t>, 075414 (2015).</w:t>
      </w:r>
    </w:p>
    <w:p w14:paraId="0E5B3C64" w14:textId="40779D25" w:rsidR="00B725CA" w:rsidRDefault="00B725CA" w:rsidP="00B725CA">
      <w:pPr>
        <w:pStyle w:val="References"/>
        <w:rPr>
          <w:lang w:val="en-US"/>
        </w:rPr>
      </w:pPr>
      <w:r w:rsidRPr="00627A24">
        <w:rPr>
          <w:vertAlign w:val="superscript"/>
          <w:lang w:val="en-US"/>
        </w:rPr>
        <w:t>6</w:t>
      </w:r>
      <w:r>
        <w:rPr>
          <w:lang w:val="en-US"/>
        </w:rPr>
        <w:t xml:space="preserve"> </w:t>
      </w:r>
      <w:r w:rsidRPr="00627A24">
        <w:rPr>
          <w:lang w:val="en-US"/>
        </w:rPr>
        <w:t>F</w:t>
      </w:r>
      <w:r>
        <w:rPr>
          <w:lang w:val="en-US"/>
        </w:rPr>
        <w:t>.</w:t>
      </w:r>
      <w:r w:rsidRPr="00627A24">
        <w:rPr>
          <w:lang w:val="en-US"/>
        </w:rPr>
        <w:t xml:space="preserve"> Bencivenga</w:t>
      </w:r>
      <w:r>
        <w:rPr>
          <w:lang w:val="en-US"/>
        </w:rPr>
        <w:t xml:space="preserve"> et al., </w:t>
      </w:r>
      <w:r w:rsidRPr="00627A24">
        <w:rPr>
          <w:i/>
          <w:iCs/>
          <w:lang w:val="en-US"/>
        </w:rPr>
        <w:t>Advances in Physics: X</w:t>
      </w:r>
      <w:r w:rsidRPr="00627A24">
        <w:rPr>
          <w:lang w:val="en-US"/>
        </w:rPr>
        <w:t xml:space="preserve"> </w:t>
      </w:r>
      <w:r w:rsidRPr="00627A24">
        <w:rPr>
          <w:b/>
          <w:bCs/>
          <w:lang w:val="en-US"/>
        </w:rPr>
        <w:t>8</w:t>
      </w:r>
      <w:r w:rsidRPr="00627A24">
        <w:rPr>
          <w:lang w:val="en-US"/>
        </w:rPr>
        <w:t>, 2220363</w:t>
      </w:r>
      <w:r>
        <w:rPr>
          <w:lang w:val="en-US"/>
        </w:rPr>
        <w:t xml:space="preserve"> (2023).</w:t>
      </w:r>
    </w:p>
    <w:p w14:paraId="521EF359" w14:textId="6E3C6507" w:rsidR="00172F51" w:rsidRPr="00172F51" w:rsidRDefault="00B725CA" w:rsidP="00B725CA">
      <w:pPr>
        <w:pStyle w:val="References"/>
        <w:rPr>
          <w:lang w:val="en-US"/>
        </w:rPr>
      </w:pPr>
      <w:r>
        <w:rPr>
          <w:vertAlign w:val="superscript"/>
          <w:lang w:val="en-US"/>
        </w:rPr>
        <w:t xml:space="preserve">7 </w:t>
      </w:r>
      <w:r w:rsidRPr="008501BD">
        <w:rPr>
          <w:lang w:val="en-US"/>
        </w:rPr>
        <w:t>F. Knoop</w:t>
      </w:r>
      <w:r>
        <w:rPr>
          <w:lang w:val="en-US"/>
        </w:rPr>
        <w:t xml:space="preserve"> et al., </w:t>
      </w:r>
      <w:r w:rsidRPr="008501BD">
        <w:rPr>
          <w:i/>
          <w:iCs/>
          <w:lang w:val="en-US"/>
        </w:rPr>
        <w:t>Physical Review Letters</w:t>
      </w:r>
      <w:r w:rsidRPr="008501BD">
        <w:rPr>
          <w:lang w:val="en-US"/>
        </w:rPr>
        <w:t xml:space="preserve"> </w:t>
      </w:r>
      <w:r w:rsidRPr="008501BD">
        <w:rPr>
          <w:b/>
          <w:bCs/>
          <w:lang w:val="en-US"/>
        </w:rPr>
        <w:t>130</w:t>
      </w:r>
      <w:r w:rsidRPr="008501BD">
        <w:rPr>
          <w:lang w:val="en-US"/>
        </w:rPr>
        <w:t>, 236301 (2023)</w:t>
      </w:r>
      <w:r>
        <w:rPr>
          <w:lang w:val="en-US"/>
        </w:rPr>
        <w:t>.</w:t>
      </w:r>
    </w:p>
    <w:sectPr w:rsidR="00172F51"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172F51"/>
    <w:rsid w:val="00187177"/>
    <w:rsid w:val="002613C6"/>
    <w:rsid w:val="002A0132"/>
    <w:rsid w:val="002B1B1E"/>
    <w:rsid w:val="004573FD"/>
    <w:rsid w:val="0047107B"/>
    <w:rsid w:val="004B6517"/>
    <w:rsid w:val="004E0655"/>
    <w:rsid w:val="00574ABC"/>
    <w:rsid w:val="005A1240"/>
    <w:rsid w:val="006A5C08"/>
    <w:rsid w:val="006C7E0C"/>
    <w:rsid w:val="00720782"/>
    <w:rsid w:val="008E26FD"/>
    <w:rsid w:val="00910550"/>
    <w:rsid w:val="00963BC5"/>
    <w:rsid w:val="009A3324"/>
    <w:rsid w:val="00B14154"/>
    <w:rsid w:val="00B725CA"/>
    <w:rsid w:val="00BC3385"/>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72F51"/>
    <w:pPr>
      <w:spacing w:after="200" w:line="276" w:lineRule="auto"/>
    </w:pPr>
    <w:rPr>
      <w:rFonts w:ascii="Calibri" w:hAnsi="Calibri"/>
      <w:sz w:val="22"/>
      <w:szCs w:val="22"/>
      <w:lang w:val="el-GR" w:eastAsia="el-G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Sprechblasentext">
    <w:name w:val="Balloon Text"/>
    <w:basedOn w:val="Standard"/>
    <w:link w:val="SprechblasentextZchn"/>
    <w:rsid w:val="002A01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A0132"/>
    <w:rPr>
      <w:rFonts w:ascii="Tahoma" w:hAnsi="Tahoma" w:cs="Tahoma"/>
      <w:sz w:val="16"/>
      <w:szCs w:val="16"/>
      <w:lang w:val="el-GR" w:eastAsia="el-GR"/>
    </w:rPr>
  </w:style>
  <w:style w:type="paragraph" w:styleId="Textkrper2">
    <w:name w:val="Body Text 2"/>
    <w:basedOn w:val="Standard"/>
    <w:link w:val="Textkrper2Zchn"/>
    <w:rsid w:val="00963BC5"/>
    <w:pPr>
      <w:spacing w:after="0" w:line="240" w:lineRule="auto"/>
      <w:jc w:val="both"/>
    </w:pPr>
    <w:rPr>
      <w:rFonts w:ascii="Times New Roman" w:hAnsi="Times New Roman"/>
      <w:sz w:val="24"/>
      <w:szCs w:val="20"/>
      <w:lang w:val="en-US" w:eastAsia="en-GB"/>
    </w:rPr>
  </w:style>
  <w:style w:type="character" w:customStyle="1" w:styleId="Textkrper2Zchn">
    <w:name w:val="Textkörper 2 Zchn"/>
    <w:basedOn w:val="Absatz-Standardschriftart"/>
    <w:link w:val="Textkrper2"/>
    <w:rsid w:val="00963BC5"/>
    <w:rPr>
      <w:sz w:val="24"/>
      <w:lang w:eastAsia="en-GB"/>
    </w:rPr>
  </w:style>
  <w:style w:type="character" w:styleId="Hyperlink">
    <w:name w:val="Hyperlink"/>
    <w:rsid w:val="00963BC5"/>
    <w:rPr>
      <w:color w:val="0000FF"/>
      <w:u w:val="single"/>
    </w:rPr>
  </w:style>
  <w:style w:type="character" w:styleId="NichtaufgelsteErwhnung">
    <w:name w:val="Unresolved Mention"/>
    <w:basedOn w:val="Absatz-Standardschriftart"/>
    <w:uiPriority w:val="99"/>
    <w:semiHidden/>
    <w:unhideWhenUsed/>
    <w:rsid w:val="00963BC5"/>
    <w:rPr>
      <w:color w:val="605E5C"/>
      <w:shd w:val="clear" w:color="auto" w:fill="E1DFDD"/>
    </w:rPr>
  </w:style>
  <w:style w:type="paragraph" w:customStyle="1" w:styleId="Author">
    <w:name w:val="Author"/>
    <w:basedOn w:val="Standard"/>
    <w:rsid w:val="00B725CA"/>
    <w:pPr>
      <w:spacing w:after="120" w:line="240" w:lineRule="auto"/>
      <w:jc w:val="center"/>
    </w:pPr>
    <w:rPr>
      <w:rFonts w:ascii="Times New Roman" w:hAnsi="Times New Roman" w:cs="Arial"/>
      <w:b/>
      <w:bCs/>
      <w:szCs w:val="20"/>
      <w:lang w:val="en-GB" w:eastAsia="en-US"/>
    </w:rPr>
  </w:style>
  <w:style w:type="paragraph" w:customStyle="1" w:styleId="Affiliation">
    <w:name w:val="Affiliation"/>
    <w:basedOn w:val="Standard"/>
    <w:rsid w:val="00B725CA"/>
    <w:pPr>
      <w:spacing w:after="0" w:line="240" w:lineRule="auto"/>
      <w:jc w:val="center"/>
    </w:pPr>
    <w:rPr>
      <w:rFonts w:ascii="Times New Roman" w:hAnsi="Times New Roman" w:cs="Arial"/>
      <w:i/>
      <w:iCs/>
      <w:sz w:val="20"/>
      <w:szCs w:val="20"/>
      <w:lang w:val="en-GB" w:eastAsia="en-US"/>
    </w:rPr>
  </w:style>
  <w:style w:type="paragraph" w:customStyle="1" w:styleId="References">
    <w:name w:val="References"/>
    <w:basedOn w:val="Standard"/>
    <w:rsid w:val="00B725CA"/>
    <w:pPr>
      <w:spacing w:after="0" w:line="240" w:lineRule="auto"/>
      <w:jc w:val="both"/>
    </w:pPr>
    <w:rPr>
      <w:rFonts w:ascii="Times New Roma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3204</Characters>
  <Application>Microsoft Office Word</Application>
  <DocSecurity>0</DocSecurity>
  <Lines>26</Lines>
  <Paragraphs>7</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Markus Wagner</cp:lastModifiedBy>
  <cp:revision>3</cp:revision>
  <dcterms:created xsi:type="dcterms:W3CDTF">2025-06-12T16:03:00Z</dcterms:created>
  <dcterms:modified xsi:type="dcterms:W3CDTF">2025-06-12T16:16:00Z</dcterms:modified>
</cp:coreProperties>
</file>