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6968" w14:textId="706F4D52" w:rsidR="00172F51" w:rsidRPr="00B00A4B" w:rsidRDefault="00B1331E" w:rsidP="00172F51">
      <w:pPr>
        <w:pStyle w:val="Default"/>
        <w:jc w:val="center"/>
        <w:rPr>
          <w:b/>
          <w:bCs/>
          <w:lang w:val="en-US"/>
        </w:rPr>
      </w:pPr>
      <w:r w:rsidRPr="00B1331E">
        <w:rPr>
          <w:b/>
          <w:bCs/>
          <w:sz w:val="28"/>
          <w:szCs w:val="28"/>
          <w:lang w:val="en-US"/>
        </w:rPr>
        <w:t xml:space="preserve">Benchmarking </w:t>
      </w:r>
      <w:r w:rsidR="003B4CA0">
        <w:rPr>
          <w:b/>
          <w:bCs/>
          <w:sz w:val="28"/>
          <w:szCs w:val="28"/>
          <w:lang w:val="en-US"/>
        </w:rPr>
        <w:t>Membrane Electrode Assembly</w:t>
      </w:r>
      <w:r w:rsidRPr="00B1331E">
        <w:rPr>
          <w:b/>
          <w:bCs/>
          <w:sz w:val="28"/>
          <w:szCs w:val="28"/>
          <w:lang w:val="en-US"/>
        </w:rPr>
        <w:t xml:space="preserve"> Inks</w:t>
      </w:r>
      <w:r>
        <w:rPr>
          <w:b/>
          <w:bCs/>
          <w:sz w:val="28"/>
          <w:szCs w:val="28"/>
          <w:lang w:val="en-US"/>
        </w:rPr>
        <w:t xml:space="preserve"> with </w:t>
      </w:r>
      <w:r w:rsidRPr="00B1331E">
        <w:rPr>
          <w:b/>
          <w:bCs/>
          <w:sz w:val="28"/>
          <w:szCs w:val="28"/>
          <w:lang w:val="en-US"/>
        </w:rPr>
        <w:t>Transparent Conductive Oxides</w:t>
      </w:r>
      <w:r>
        <w:rPr>
          <w:b/>
          <w:bCs/>
          <w:sz w:val="28"/>
          <w:szCs w:val="28"/>
          <w:lang w:val="en-US"/>
        </w:rPr>
        <w:t xml:space="preserve"> for </w:t>
      </w:r>
      <w:r w:rsidR="003B4CA0">
        <w:rPr>
          <w:b/>
          <w:bCs/>
          <w:sz w:val="28"/>
          <w:szCs w:val="28"/>
          <w:lang w:val="en-US"/>
        </w:rPr>
        <w:t>Proton-Exchange Membrane</w:t>
      </w:r>
      <w:r>
        <w:rPr>
          <w:b/>
          <w:bCs/>
          <w:sz w:val="28"/>
          <w:szCs w:val="28"/>
          <w:lang w:val="en-US"/>
        </w:rPr>
        <w:t xml:space="preserve"> Water Electrolysis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18ABF1C3" w:rsidR="0007701F" w:rsidRPr="00DE2C63" w:rsidRDefault="00B1331E" w:rsidP="00172F51">
      <w:pPr>
        <w:pStyle w:val="Default"/>
        <w:jc w:val="center"/>
        <w:rPr>
          <w:sz w:val="22"/>
          <w:szCs w:val="22"/>
          <w:lang w:val="en-US"/>
        </w:rPr>
      </w:pPr>
      <w:r w:rsidRPr="00951488">
        <w:rPr>
          <w:sz w:val="22"/>
          <w:szCs w:val="22"/>
          <w:u w:val="single"/>
          <w:lang w:val="en-US"/>
        </w:rPr>
        <w:t>J. S. Pap</w:t>
      </w:r>
      <w:r w:rsidR="00172F51" w:rsidRPr="00951488">
        <w:rPr>
          <w:sz w:val="22"/>
          <w:szCs w:val="22"/>
          <w:u w:val="single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T. Benkó</w:t>
      </w:r>
      <w:r w:rsidR="00951488">
        <w:rPr>
          <w:sz w:val="22"/>
          <w:szCs w:val="22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951488">
        <w:rPr>
          <w:sz w:val="22"/>
          <w:szCs w:val="22"/>
          <w:lang w:val="en-US"/>
        </w:rPr>
        <w:t>M. Németh</w:t>
      </w:r>
      <w:r w:rsidR="00951488">
        <w:rPr>
          <w:sz w:val="22"/>
          <w:szCs w:val="22"/>
          <w:vertAlign w:val="superscript"/>
          <w:lang w:val="en-US"/>
        </w:rPr>
        <w:t>1</w:t>
      </w:r>
      <w:r w:rsidR="00951488">
        <w:rPr>
          <w:sz w:val="22"/>
          <w:szCs w:val="22"/>
          <w:lang w:val="en-US"/>
        </w:rPr>
        <w:t>, S. Keszei</w:t>
      </w:r>
      <w:r w:rsidR="00951488">
        <w:rPr>
          <w:sz w:val="22"/>
          <w:szCs w:val="22"/>
          <w:vertAlign w:val="superscript"/>
          <w:lang w:val="en-US"/>
        </w:rPr>
        <w:t>2</w:t>
      </w:r>
      <w:r w:rsidR="00DE2C63" w:rsidRPr="00DE2C63">
        <w:rPr>
          <w:sz w:val="22"/>
          <w:szCs w:val="22"/>
          <w:lang w:val="en-US"/>
        </w:rPr>
        <w:t>,</w:t>
      </w:r>
      <w:r w:rsidR="00DE2C63">
        <w:rPr>
          <w:sz w:val="22"/>
          <w:szCs w:val="22"/>
          <w:vertAlign w:val="superscript"/>
          <w:lang w:val="en-US"/>
        </w:rPr>
        <w:t xml:space="preserve"> </w:t>
      </w:r>
      <w:proofErr w:type="spellStart"/>
      <w:r w:rsidR="00DE2C63" w:rsidRPr="00DE2C63">
        <w:rPr>
          <w:sz w:val="22"/>
          <w:szCs w:val="22"/>
          <w:lang w:val="en-US"/>
        </w:rPr>
        <w:t>Nataliia</w:t>
      </w:r>
      <w:proofErr w:type="spellEnd"/>
      <w:r w:rsidR="00DE2C63" w:rsidRPr="00DE2C63">
        <w:rPr>
          <w:sz w:val="22"/>
          <w:szCs w:val="22"/>
          <w:lang w:val="en-US"/>
        </w:rPr>
        <w:t xml:space="preserve"> Roshko</w:t>
      </w:r>
      <w:r w:rsidR="00DE2C63">
        <w:rPr>
          <w:sz w:val="22"/>
          <w:szCs w:val="22"/>
          <w:vertAlign w:val="superscript"/>
          <w:lang w:val="en-US"/>
        </w:rPr>
        <w:t>3,4</w:t>
      </w:r>
      <w:r w:rsidR="00DE2C63">
        <w:rPr>
          <w:sz w:val="22"/>
          <w:szCs w:val="22"/>
          <w:lang w:val="en-US"/>
        </w:rPr>
        <w:t>, Igor O. Fritsky</w:t>
      </w:r>
      <w:r w:rsidR="00DE2C63" w:rsidRPr="00DE2C63">
        <w:rPr>
          <w:sz w:val="22"/>
          <w:szCs w:val="22"/>
          <w:vertAlign w:val="superscript"/>
          <w:lang w:val="en-US"/>
        </w:rPr>
        <w:t>3</w:t>
      </w:r>
      <w:r w:rsidR="00DE2C63">
        <w:rPr>
          <w:sz w:val="22"/>
          <w:szCs w:val="22"/>
          <w:vertAlign w:val="superscript"/>
          <w:lang w:val="en-US"/>
        </w:rPr>
        <w:t>,4</w:t>
      </w:r>
    </w:p>
    <w:p w14:paraId="33B59775" w14:textId="3DA81D73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="00951488">
        <w:rPr>
          <w:i/>
          <w:iCs/>
          <w:sz w:val="22"/>
          <w:szCs w:val="22"/>
          <w:lang w:val="en-US"/>
        </w:rPr>
        <w:t>HUN-REN Centre for Energy Research, Institute for Energy Security and Environmental Safety, Department of Surface Chemistry and Catalysis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951488">
        <w:rPr>
          <w:i/>
          <w:iCs/>
          <w:sz w:val="22"/>
          <w:szCs w:val="22"/>
          <w:lang w:val="en-US"/>
        </w:rPr>
        <w:t>Budapest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951488">
        <w:rPr>
          <w:i/>
          <w:iCs/>
          <w:sz w:val="22"/>
          <w:szCs w:val="22"/>
          <w:lang w:val="en-US"/>
        </w:rPr>
        <w:t>Hungary</w:t>
      </w:r>
    </w:p>
    <w:p w14:paraId="536DF3AA" w14:textId="4CBB40E7" w:rsidR="00172F51" w:rsidRDefault="00172F51" w:rsidP="00951488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="00200C93">
        <w:rPr>
          <w:i/>
          <w:iCs/>
          <w:sz w:val="22"/>
          <w:szCs w:val="22"/>
          <w:lang w:val="en-US"/>
        </w:rPr>
        <w:t xml:space="preserve">HUN-REN </w:t>
      </w:r>
      <w:r w:rsidR="00200C93" w:rsidRPr="00200C93">
        <w:rPr>
          <w:i/>
          <w:iCs/>
          <w:sz w:val="22"/>
          <w:szCs w:val="22"/>
          <w:lang w:val="en-US"/>
        </w:rPr>
        <w:t>Centre for Energy Research, Institute of Technical Physics and Materials Science</w:t>
      </w:r>
      <w:r w:rsidR="00200C93">
        <w:rPr>
          <w:i/>
          <w:iCs/>
          <w:sz w:val="22"/>
          <w:szCs w:val="22"/>
          <w:lang w:val="en-US"/>
        </w:rPr>
        <w:t xml:space="preserve">, </w:t>
      </w:r>
      <w:r w:rsidR="00200C93" w:rsidRPr="00200C93">
        <w:rPr>
          <w:i/>
          <w:iCs/>
          <w:sz w:val="22"/>
          <w:szCs w:val="22"/>
          <w:lang w:val="en-US"/>
        </w:rPr>
        <w:t>Budapest, Hungary</w:t>
      </w:r>
    </w:p>
    <w:p w14:paraId="7AB63265" w14:textId="1A627CA5" w:rsidR="00DE2C63" w:rsidRPr="00DE2C63" w:rsidRDefault="00DE2C63" w:rsidP="00DE2C6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E2C63">
        <w:rPr>
          <w:i/>
          <w:iCs/>
          <w:sz w:val="22"/>
          <w:szCs w:val="22"/>
          <w:vertAlign w:val="superscript"/>
          <w:lang w:val="en-US"/>
        </w:rPr>
        <w:t>3</w:t>
      </w:r>
      <w:r w:rsidRPr="00DE2C63">
        <w:rPr>
          <w:i/>
          <w:iCs/>
          <w:sz w:val="22"/>
          <w:szCs w:val="22"/>
          <w:lang w:val="en-US"/>
        </w:rPr>
        <w:t xml:space="preserve">Innovation Development Center ABN LLC, </w:t>
      </w:r>
      <w:proofErr w:type="spellStart"/>
      <w:r w:rsidRPr="00DE2C63">
        <w:rPr>
          <w:i/>
          <w:iCs/>
          <w:sz w:val="22"/>
          <w:szCs w:val="22"/>
          <w:lang w:val="en-US"/>
        </w:rPr>
        <w:t>Kiyv</w:t>
      </w:r>
      <w:proofErr w:type="spellEnd"/>
      <w:r w:rsidRPr="00DE2C63">
        <w:rPr>
          <w:i/>
          <w:iCs/>
          <w:sz w:val="22"/>
          <w:szCs w:val="22"/>
          <w:lang w:val="en-US"/>
        </w:rPr>
        <w:t>, Ukraine</w:t>
      </w:r>
    </w:p>
    <w:p w14:paraId="46B5C88A" w14:textId="4F549717" w:rsidR="00DE2C63" w:rsidRPr="00951488" w:rsidRDefault="00DE2C63" w:rsidP="00DE2C63">
      <w:pPr>
        <w:pStyle w:val="Default"/>
        <w:jc w:val="center"/>
        <w:rPr>
          <w:sz w:val="22"/>
          <w:szCs w:val="22"/>
          <w:lang w:val="en-US"/>
        </w:rPr>
      </w:pPr>
      <w:r w:rsidRPr="00DE2C63">
        <w:rPr>
          <w:i/>
          <w:iCs/>
          <w:sz w:val="22"/>
          <w:szCs w:val="22"/>
          <w:vertAlign w:val="superscript"/>
          <w:lang w:val="en-US"/>
        </w:rPr>
        <w:t>4</w:t>
      </w:r>
      <w:r w:rsidRPr="00DE2C63">
        <w:rPr>
          <w:i/>
          <w:iCs/>
          <w:sz w:val="22"/>
          <w:szCs w:val="22"/>
          <w:lang w:val="en-US"/>
        </w:rPr>
        <w:t xml:space="preserve">Faculty of Chemistry, </w:t>
      </w:r>
      <w:proofErr w:type="spellStart"/>
      <w:r w:rsidRPr="00DE2C63">
        <w:rPr>
          <w:i/>
          <w:iCs/>
          <w:sz w:val="22"/>
          <w:szCs w:val="22"/>
          <w:lang w:val="en-US"/>
        </w:rPr>
        <w:t>Taras</w:t>
      </w:r>
      <w:proofErr w:type="spellEnd"/>
      <w:r w:rsidRPr="00DE2C63">
        <w:rPr>
          <w:i/>
          <w:iCs/>
          <w:sz w:val="22"/>
          <w:szCs w:val="22"/>
          <w:lang w:val="en-US"/>
        </w:rPr>
        <w:t xml:space="preserve"> Shevchenko National University of Kyiv, </w:t>
      </w:r>
      <w:bookmarkStart w:id="0" w:name="_GoBack"/>
      <w:bookmarkEnd w:id="0"/>
      <w:r w:rsidRPr="00DE2C63">
        <w:rPr>
          <w:i/>
          <w:iCs/>
          <w:sz w:val="22"/>
          <w:szCs w:val="22"/>
          <w:lang w:val="en-US"/>
        </w:rPr>
        <w:t>Ukraine</w:t>
      </w: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64ABE580" w14:textId="3D9BA137" w:rsidR="003B4CA0" w:rsidRPr="003B4CA0" w:rsidRDefault="003B4CA0" w:rsidP="003B4CA0">
      <w:pPr>
        <w:pStyle w:val="Default"/>
        <w:jc w:val="both"/>
        <w:rPr>
          <w:lang w:val="en-US"/>
        </w:rPr>
      </w:pPr>
      <w:r w:rsidRPr="003B4CA0">
        <w:rPr>
          <w:lang w:val="en-US"/>
        </w:rPr>
        <w:t xml:space="preserve">A central challenge in solar hydrogen production is replacing high-performance, stable noble metal catalysts in water </w:t>
      </w:r>
      <w:proofErr w:type="spellStart"/>
      <w:r w:rsidRPr="003B4CA0">
        <w:rPr>
          <w:lang w:val="en-US"/>
        </w:rPr>
        <w:t>electrolyzers</w:t>
      </w:r>
      <w:proofErr w:type="spellEnd"/>
      <w:r w:rsidRPr="003B4CA0">
        <w:rPr>
          <w:lang w:val="en-US"/>
        </w:rPr>
        <w:t xml:space="preserve"> and </w:t>
      </w:r>
      <w:proofErr w:type="spellStart"/>
      <w:r w:rsidRPr="003B4CA0">
        <w:rPr>
          <w:lang w:val="en-US"/>
        </w:rPr>
        <w:t>photoelectrocatalytic</w:t>
      </w:r>
      <w:proofErr w:type="spellEnd"/>
      <w:r w:rsidRPr="003B4CA0">
        <w:rPr>
          <w:lang w:val="en-US"/>
        </w:rPr>
        <w:t xml:space="preserve"> systems with non-noble metal alternatives. Unlike noble metals, which often require no or minimal support, non-noble metal catalysts are prone to degradation and typically demand suitable chemical environments for prolonged operation due to their dynamic </w:t>
      </w:r>
      <w:proofErr w:type="gramStart"/>
      <w:r w:rsidRPr="003B4CA0">
        <w:rPr>
          <w:lang w:val="en-US"/>
        </w:rPr>
        <w:t>behavior.</w:t>
      </w:r>
      <w:r w:rsidRPr="003B4CA0">
        <w:rPr>
          <w:vertAlign w:val="superscript"/>
          <w:lang w:val="en-US"/>
        </w:rPr>
        <w:t>[</w:t>
      </w:r>
      <w:proofErr w:type="gramEnd"/>
      <w:r w:rsidRPr="003B4CA0">
        <w:rPr>
          <w:vertAlign w:val="superscript"/>
          <w:lang w:val="en-US"/>
        </w:rPr>
        <w:t>1]</w:t>
      </w:r>
      <w:r w:rsidRPr="003B4CA0">
        <w:rPr>
          <w:vertAlign w:val="superscript"/>
          <w:lang w:val="en-US"/>
        </w:rPr>
        <w:t xml:space="preserve"> </w:t>
      </w:r>
      <w:r w:rsidRPr="003B4CA0">
        <w:rPr>
          <w:lang w:val="en-US"/>
        </w:rPr>
        <w:t xml:space="preserve">Identifying stable, conductive, and chemically resistant supports for the oxygen evolution reaction (OER) is thus crucial. </w:t>
      </w:r>
      <w:r>
        <w:rPr>
          <w:lang w:val="en-US"/>
        </w:rPr>
        <w:t>TCOs</w:t>
      </w:r>
      <w:r w:rsidRPr="003B4CA0">
        <w:rPr>
          <w:lang w:val="en-US"/>
        </w:rPr>
        <w:t xml:space="preserve"> are attractive catalyst support candidates. While doped TCOs offer good conductivity, minimizing </w:t>
      </w:r>
      <w:proofErr w:type="spellStart"/>
      <w:r w:rsidRPr="003B4CA0">
        <w:rPr>
          <w:lang w:val="en-US"/>
        </w:rPr>
        <w:t>ohmic</w:t>
      </w:r>
      <w:proofErr w:type="spellEnd"/>
      <w:r w:rsidRPr="003B4CA0">
        <w:rPr>
          <w:lang w:val="en-US"/>
        </w:rPr>
        <w:t xml:space="preserve"> drop in real applications, dopant corrosion can lead to gradual performance loss. Metal oxidation and anodic dissolution further complicate stability, particularly during the </w:t>
      </w:r>
      <w:proofErr w:type="gramStart"/>
      <w:r w:rsidRPr="003B4CA0">
        <w:rPr>
          <w:lang w:val="en-US"/>
        </w:rPr>
        <w:t>OER.</w:t>
      </w:r>
      <w:r w:rsidRPr="003B4CA0">
        <w:rPr>
          <w:vertAlign w:val="superscript"/>
          <w:lang w:val="en-US"/>
        </w:rPr>
        <w:t>[</w:t>
      </w:r>
      <w:proofErr w:type="gramEnd"/>
      <w:r>
        <w:rPr>
          <w:vertAlign w:val="superscript"/>
          <w:lang w:val="en-US"/>
        </w:rPr>
        <w:t>2</w:t>
      </w:r>
      <w:r w:rsidRPr="003B4CA0">
        <w:rPr>
          <w:vertAlign w:val="superscript"/>
          <w:lang w:val="en-US"/>
        </w:rPr>
        <w:t>]</w:t>
      </w:r>
    </w:p>
    <w:p w14:paraId="05C666D7" w14:textId="0D6B6D1A" w:rsidR="003B4CA0" w:rsidRPr="003B4CA0" w:rsidRDefault="003B4CA0" w:rsidP="003B4CA0">
      <w:pPr>
        <w:pStyle w:val="Default"/>
        <w:jc w:val="both"/>
        <w:rPr>
          <w:lang w:val="en-US"/>
        </w:rPr>
      </w:pPr>
      <w:r w:rsidRPr="003B4CA0">
        <w:rPr>
          <w:lang w:val="en-US"/>
        </w:rPr>
        <w:t xml:space="preserve">We have successfully employed TCO-coated anode supports, specifically </w:t>
      </w:r>
      <w:r>
        <w:rPr>
          <w:lang w:val="en-US"/>
        </w:rPr>
        <w:t>ITO</w:t>
      </w:r>
      <w:r w:rsidRPr="003B4CA0">
        <w:rPr>
          <w:lang w:val="en-US"/>
        </w:rPr>
        <w:t xml:space="preserve"> and </w:t>
      </w:r>
      <w:r>
        <w:rPr>
          <w:lang w:val="en-US"/>
        </w:rPr>
        <w:t>FTO</w:t>
      </w:r>
      <w:r w:rsidRPr="003B4CA0">
        <w:rPr>
          <w:lang w:val="en-US"/>
        </w:rPr>
        <w:t>, in the evaluation of non-noble molecular pre-</w:t>
      </w:r>
      <w:proofErr w:type="gramStart"/>
      <w:r w:rsidRPr="003B4CA0">
        <w:rPr>
          <w:lang w:val="en-US"/>
        </w:rPr>
        <w:t>catalysts.</w:t>
      </w:r>
      <w:r w:rsidRPr="003B4CA0">
        <w:rPr>
          <w:vertAlign w:val="superscript"/>
          <w:lang w:val="en-US"/>
        </w:rPr>
        <w:t>[</w:t>
      </w:r>
      <w:proofErr w:type="gramEnd"/>
      <w:r w:rsidRPr="003B4CA0">
        <w:rPr>
          <w:vertAlign w:val="superscript"/>
          <w:lang w:val="en-US"/>
        </w:rPr>
        <w:t>3-6]</w:t>
      </w:r>
      <w:r w:rsidRPr="003B4CA0">
        <w:rPr>
          <w:lang w:val="en-US"/>
        </w:rPr>
        <w:t xml:space="preserve"> These supports offered the experimental flexibility and high reproducibility needed for </w:t>
      </w:r>
      <w:r w:rsidRPr="003B4CA0">
        <w:rPr>
          <w:i/>
          <w:lang w:val="en-US"/>
        </w:rPr>
        <w:t>operando</w:t>
      </w:r>
      <w:r w:rsidRPr="003B4CA0">
        <w:rPr>
          <w:lang w:val="en-US"/>
        </w:rPr>
        <w:t xml:space="preserve"> and post-catalysis tests, clearly elucidating changes in molecular pre-catalysts and the role of side reactions during </w:t>
      </w:r>
      <w:r>
        <w:rPr>
          <w:lang w:val="en-US"/>
        </w:rPr>
        <w:t>the OER</w:t>
      </w:r>
      <w:r w:rsidRPr="003B4CA0">
        <w:rPr>
          <w:lang w:val="en-US"/>
        </w:rPr>
        <w:t xml:space="preserve"> at a laboratory scale in 3-electrode or H-cells.</w:t>
      </w:r>
    </w:p>
    <w:p w14:paraId="419AE762" w14:textId="75B95BCA" w:rsidR="00F21475" w:rsidRDefault="003B4CA0" w:rsidP="003B4CA0">
      <w:pPr>
        <w:pStyle w:val="Default"/>
        <w:jc w:val="both"/>
        <w:rPr>
          <w:lang w:val="en-US"/>
        </w:rPr>
      </w:pPr>
      <w:r w:rsidRPr="003B4CA0">
        <w:rPr>
          <w:lang w:val="en-US"/>
        </w:rPr>
        <w:t xml:space="preserve">More recently, we began investigating TCOs as ink constituents for </w:t>
      </w:r>
      <w:r>
        <w:rPr>
          <w:lang w:val="en-US"/>
        </w:rPr>
        <w:t>membrane electrode assembly (MEA) fabrication in proton-exchange m</w:t>
      </w:r>
      <w:r w:rsidRPr="003B4CA0">
        <w:rPr>
          <w:lang w:val="en-US"/>
        </w:rPr>
        <w:t xml:space="preserve">embrane (PEM) single water electrolysis cells. In these setups, TCO particles are mixed with the catalyst, </w:t>
      </w:r>
      <w:proofErr w:type="spellStart"/>
      <w:r w:rsidRPr="003B4CA0">
        <w:rPr>
          <w:lang w:val="en-US"/>
        </w:rPr>
        <w:t>Nafion</w:t>
      </w:r>
      <w:proofErr w:type="spellEnd"/>
      <w:r w:rsidRPr="003B4CA0">
        <w:rPr>
          <w:lang w:val="en-US"/>
        </w:rPr>
        <w:t xml:space="preserve"> solution, and other additives in varying ratios, undergoing different treatments to produce catalyst ink spray-coated onto the PEM. Developing such ink compositions is a complex and laborious optimization challenge. Our current work utilizes commercial, uniform FTO</w:t>
      </w:r>
      <w:r>
        <w:rPr>
          <w:lang w:val="en-US"/>
        </w:rPr>
        <w:t>-</w:t>
      </w:r>
      <w:r w:rsidRPr="003B4CA0">
        <w:rPr>
          <w:lang w:val="en-US"/>
        </w:rPr>
        <w:t>, ITO</w:t>
      </w:r>
      <w:r>
        <w:rPr>
          <w:lang w:val="en-US"/>
        </w:rPr>
        <w:t>-</w:t>
      </w:r>
      <w:r w:rsidRPr="003B4CA0">
        <w:rPr>
          <w:lang w:val="en-US"/>
        </w:rPr>
        <w:t xml:space="preserve">, and </w:t>
      </w:r>
      <w:r>
        <w:rPr>
          <w:lang w:val="en-US"/>
        </w:rPr>
        <w:t>ATO-</w:t>
      </w:r>
      <w:r w:rsidRPr="003B4CA0">
        <w:rPr>
          <w:lang w:val="en-US"/>
        </w:rPr>
        <w:t xml:space="preserve">coated support electrodes to study the potential-dependent behavior and interaction with ink components like </w:t>
      </w:r>
      <w:proofErr w:type="spellStart"/>
      <w:r w:rsidRPr="003B4CA0">
        <w:rPr>
          <w:lang w:val="en-US"/>
        </w:rPr>
        <w:t>Nafion</w:t>
      </w:r>
      <w:proofErr w:type="spellEnd"/>
      <w:r w:rsidRPr="003B4CA0">
        <w:rPr>
          <w:lang w:val="en-US"/>
        </w:rPr>
        <w:t>. Crucially, this research aims to benchmark the adsorption</w:t>
      </w:r>
      <w:r>
        <w:rPr>
          <w:lang w:val="en-US"/>
        </w:rPr>
        <w:t xml:space="preserve"> stability</w:t>
      </w:r>
      <w:r w:rsidRPr="003B4CA0">
        <w:rPr>
          <w:lang w:val="en-US"/>
        </w:rPr>
        <w:t>, distribution, charge transfer resistance, and overall catalytic performance, including degradation onset potentials, of various Fe- and Ni-containing molecular pre-catalysts before their incorporation into MEA inks.</w:t>
      </w:r>
    </w:p>
    <w:p w14:paraId="6E6F1850" w14:textId="77777777" w:rsidR="003B4CA0" w:rsidRDefault="003B4CA0" w:rsidP="003B4CA0">
      <w:pPr>
        <w:pStyle w:val="Default"/>
        <w:jc w:val="both"/>
        <w:rPr>
          <w:lang w:val="en-US"/>
        </w:rPr>
      </w:pPr>
    </w:p>
    <w:p w14:paraId="490FB5DE" w14:textId="1E9C0B1B" w:rsidR="003B4CA0" w:rsidRDefault="00F21475" w:rsidP="00F21475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 w:rsidR="00437EC8">
        <w:rPr>
          <w:lang w:val="en-US"/>
        </w:rPr>
        <w:t>1</w:t>
      </w:r>
      <w:r>
        <w:rPr>
          <w:lang w:val="en-US"/>
        </w:rPr>
        <w:t xml:space="preserve">] </w:t>
      </w:r>
      <w:r w:rsidR="003B4CA0">
        <w:rPr>
          <w:lang w:val="en-US"/>
        </w:rPr>
        <w:t xml:space="preserve">T. </w:t>
      </w:r>
      <w:proofErr w:type="spellStart"/>
      <w:r w:rsidR="003B4CA0">
        <w:rPr>
          <w:lang w:val="en-US"/>
        </w:rPr>
        <w:t>Benkó</w:t>
      </w:r>
      <w:proofErr w:type="spellEnd"/>
      <w:r w:rsidR="003B4CA0">
        <w:rPr>
          <w:lang w:val="en-US"/>
        </w:rPr>
        <w:t xml:space="preserve">, D. </w:t>
      </w:r>
      <w:proofErr w:type="spellStart"/>
      <w:r w:rsidR="003B4CA0">
        <w:rPr>
          <w:lang w:val="en-US"/>
        </w:rPr>
        <w:t>Lukács</w:t>
      </w:r>
      <w:proofErr w:type="spellEnd"/>
      <w:r w:rsidR="003B4CA0">
        <w:rPr>
          <w:lang w:val="en-US"/>
        </w:rPr>
        <w:t xml:space="preserve">, M. Li, J. S. Pap, </w:t>
      </w:r>
      <w:r w:rsidR="003B4CA0" w:rsidRPr="003B4CA0">
        <w:rPr>
          <w:i/>
          <w:lang w:val="en-US"/>
        </w:rPr>
        <w:t>Environ. Chem. Lett.</w:t>
      </w:r>
      <w:r w:rsidR="003B4CA0">
        <w:rPr>
          <w:lang w:val="en-US"/>
        </w:rPr>
        <w:t xml:space="preserve">, </w:t>
      </w:r>
      <w:r w:rsidR="003B4CA0" w:rsidRPr="003B4CA0">
        <w:rPr>
          <w:b/>
          <w:lang w:val="en-US"/>
        </w:rPr>
        <w:t>2022</w:t>
      </w:r>
      <w:r w:rsidR="003B4CA0">
        <w:rPr>
          <w:lang w:val="en-US"/>
        </w:rPr>
        <w:t xml:space="preserve">, </w:t>
      </w:r>
      <w:r w:rsidR="003B4CA0" w:rsidRPr="003B4CA0">
        <w:rPr>
          <w:i/>
          <w:lang w:val="en-US"/>
        </w:rPr>
        <w:t>20</w:t>
      </w:r>
      <w:r w:rsidR="003B4CA0">
        <w:rPr>
          <w:lang w:val="en-US"/>
        </w:rPr>
        <w:t>, 3657.</w:t>
      </w:r>
    </w:p>
    <w:p w14:paraId="40CD39AC" w14:textId="6362D510" w:rsidR="00F21475" w:rsidRDefault="003B4CA0" w:rsidP="00F21475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 w:rsidR="00437EC8">
        <w:rPr>
          <w:lang w:val="en-US"/>
        </w:rPr>
        <w:t>2</w:t>
      </w:r>
      <w:r>
        <w:rPr>
          <w:lang w:val="en-US"/>
        </w:rPr>
        <w:t xml:space="preserve">] </w:t>
      </w:r>
      <w:r w:rsidR="00F21475" w:rsidRPr="00F21475">
        <w:rPr>
          <w:lang w:val="en-US"/>
        </w:rPr>
        <w:t>S.</w:t>
      </w:r>
      <w:r w:rsidR="00F21475">
        <w:rPr>
          <w:lang w:val="en-US"/>
        </w:rPr>
        <w:t xml:space="preserve"> </w:t>
      </w:r>
      <w:r w:rsidR="00F21475" w:rsidRPr="00F21475">
        <w:rPr>
          <w:lang w:val="en-US"/>
        </w:rPr>
        <w:t xml:space="preserve">Geiger, </w:t>
      </w:r>
      <w:r w:rsidR="00720188">
        <w:rPr>
          <w:lang w:val="en-US"/>
        </w:rPr>
        <w:t xml:space="preserve">O. </w:t>
      </w:r>
      <w:proofErr w:type="spellStart"/>
      <w:r w:rsidR="00720188">
        <w:rPr>
          <w:lang w:val="en-US"/>
        </w:rPr>
        <w:t>Kasian</w:t>
      </w:r>
      <w:proofErr w:type="spellEnd"/>
      <w:r w:rsidR="00720188">
        <w:rPr>
          <w:lang w:val="en-US"/>
        </w:rPr>
        <w:t>, A. M.</w:t>
      </w:r>
      <w:r w:rsidR="00F21475" w:rsidRPr="00F21475">
        <w:rPr>
          <w:lang w:val="en-US"/>
        </w:rPr>
        <w:t xml:space="preserve"> </w:t>
      </w:r>
      <w:proofErr w:type="spellStart"/>
      <w:r w:rsidR="00F21475" w:rsidRPr="00F21475">
        <w:rPr>
          <w:lang w:val="en-US"/>
        </w:rPr>
        <w:t>Mingers</w:t>
      </w:r>
      <w:proofErr w:type="spellEnd"/>
      <w:r w:rsidR="00F21475" w:rsidRPr="00F21475">
        <w:rPr>
          <w:lang w:val="en-US"/>
        </w:rPr>
        <w:t xml:space="preserve">, </w:t>
      </w:r>
      <w:r w:rsidR="00F21475" w:rsidRPr="00720188">
        <w:rPr>
          <w:i/>
          <w:lang w:val="en-US"/>
        </w:rPr>
        <w:t>et al.</w:t>
      </w:r>
      <w:r w:rsidR="00720188">
        <w:rPr>
          <w:i/>
          <w:lang w:val="en-US"/>
        </w:rPr>
        <w:t>,</w:t>
      </w:r>
      <w:r w:rsidR="00F21475" w:rsidRPr="00720188">
        <w:rPr>
          <w:i/>
          <w:lang w:val="en-US"/>
        </w:rPr>
        <w:t xml:space="preserve"> Sci</w:t>
      </w:r>
      <w:r w:rsidR="00720188" w:rsidRPr="00720188">
        <w:rPr>
          <w:i/>
          <w:lang w:val="en-US"/>
        </w:rPr>
        <w:t>.</w:t>
      </w:r>
      <w:r w:rsidR="00F21475" w:rsidRPr="00720188">
        <w:rPr>
          <w:i/>
          <w:lang w:val="en-US"/>
        </w:rPr>
        <w:t xml:space="preserve"> Rep</w:t>
      </w:r>
      <w:r w:rsidR="00720188" w:rsidRPr="00720188">
        <w:rPr>
          <w:i/>
          <w:lang w:val="en-US"/>
        </w:rPr>
        <w:t>.</w:t>
      </w:r>
      <w:r w:rsidR="00720188">
        <w:rPr>
          <w:i/>
          <w:lang w:val="en-US"/>
        </w:rPr>
        <w:t>,</w:t>
      </w:r>
      <w:r w:rsidR="00F21475" w:rsidRPr="00F21475">
        <w:rPr>
          <w:lang w:val="en-US"/>
        </w:rPr>
        <w:t xml:space="preserve"> </w:t>
      </w:r>
      <w:r w:rsidR="00720188" w:rsidRPr="00720188">
        <w:rPr>
          <w:b/>
          <w:lang w:val="en-US"/>
        </w:rPr>
        <w:t>2017</w:t>
      </w:r>
      <w:r w:rsidR="00720188">
        <w:rPr>
          <w:lang w:val="en-US"/>
        </w:rPr>
        <w:t xml:space="preserve">, </w:t>
      </w:r>
      <w:r w:rsidR="00720188" w:rsidRPr="00200C93">
        <w:rPr>
          <w:i/>
          <w:lang w:val="en-US"/>
        </w:rPr>
        <w:t>7</w:t>
      </w:r>
      <w:r w:rsidR="00720188">
        <w:rPr>
          <w:lang w:val="en-US"/>
        </w:rPr>
        <w:t>, 4595</w:t>
      </w:r>
      <w:r w:rsidR="00F21475" w:rsidRPr="00F21475">
        <w:rPr>
          <w:lang w:val="en-US"/>
        </w:rPr>
        <w:t>.</w:t>
      </w:r>
    </w:p>
    <w:p w14:paraId="40B166C6" w14:textId="6194A0E0" w:rsidR="00F21475" w:rsidRDefault="00F21475" w:rsidP="00F21475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 w:rsidR="00437EC8">
        <w:rPr>
          <w:lang w:val="en-US"/>
        </w:rPr>
        <w:t>3</w:t>
      </w:r>
      <w:r>
        <w:rPr>
          <w:lang w:val="en-US"/>
        </w:rPr>
        <w:t xml:space="preserve">] </w:t>
      </w:r>
      <w:r w:rsidRPr="00902D5C">
        <w:rPr>
          <w:lang w:val="en-US"/>
        </w:rPr>
        <w:t xml:space="preserve">T. </w:t>
      </w:r>
      <w:proofErr w:type="spellStart"/>
      <w:r w:rsidRPr="00902D5C">
        <w:rPr>
          <w:lang w:val="en-US"/>
        </w:rPr>
        <w:t>Benkó</w:t>
      </w:r>
      <w:proofErr w:type="spellEnd"/>
      <w:r w:rsidRPr="00902D5C">
        <w:rPr>
          <w:lang w:val="en-US"/>
        </w:rPr>
        <w:t xml:space="preserve">, S. Shen, M. </w:t>
      </w:r>
      <w:proofErr w:type="spellStart"/>
      <w:r w:rsidRPr="00902D5C">
        <w:rPr>
          <w:lang w:val="en-US"/>
        </w:rPr>
        <w:t>Németh</w:t>
      </w:r>
      <w:proofErr w:type="spellEnd"/>
      <w:r w:rsidRPr="00902D5C">
        <w:rPr>
          <w:lang w:val="en-US"/>
        </w:rPr>
        <w:t xml:space="preserve">, </w:t>
      </w:r>
      <w:r w:rsidR="00720188" w:rsidRPr="00720188">
        <w:rPr>
          <w:i/>
          <w:lang w:val="en-US"/>
        </w:rPr>
        <w:t>et al.</w:t>
      </w:r>
      <w:r w:rsidR="00720188">
        <w:rPr>
          <w:i/>
          <w:lang w:val="en-US"/>
        </w:rPr>
        <w:t>,</w:t>
      </w:r>
      <w:r w:rsidRPr="00902D5C">
        <w:rPr>
          <w:rFonts w:eastAsia="SimHei"/>
          <w:bCs/>
        </w:rPr>
        <w:t xml:space="preserve"> </w:t>
      </w:r>
      <w:r w:rsidRPr="00902D5C">
        <w:rPr>
          <w:rFonts w:eastAsia="SimHei"/>
          <w:bCs/>
          <w:i/>
        </w:rPr>
        <w:t>Appl. Catal. A - Gen.</w:t>
      </w:r>
      <w:r w:rsidRPr="00902D5C">
        <w:rPr>
          <w:rFonts w:eastAsia="SimHei"/>
          <w:bCs/>
        </w:rPr>
        <w:t xml:space="preserve">, </w:t>
      </w:r>
      <w:r w:rsidRPr="00902D5C">
        <w:rPr>
          <w:rFonts w:eastAsia="SimHei"/>
          <w:b/>
          <w:bCs/>
        </w:rPr>
        <w:t>2023</w:t>
      </w:r>
      <w:r w:rsidRPr="00902D5C">
        <w:rPr>
          <w:rFonts w:eastAsia="SimHei"/>
          <w:bCs/>
        </w:rPr>
        <w:t xml:space="preserve">, </w:t>
      </w:r>
      <w:r w:rsidRPr="00200C93">
        <w:rPr>
          <w:rFonts w:eastAsia="SimHei"/>
          <w:bCs/>
          <w:i/>
        </w:rPr>
        <w:t>652</w:t>
      </w:r>
      <w:r w:rsidRPr="00902D5C">
        <w:rPr>
          <w:rFonts w:eastAsia="SimHei"/>
          <w:bCs/>
        </w:rPr>
        <w:t>, 119035.</w:t>
      </w:r>
    </w:p>
    <w:p w14:paraId="5282A293" w14:textId="1DEC97F4" w:rsidR="00F21475" w:rsidRDefault="00F21475" w:rsidP="00F21475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 w:rsidR="00437EC8">
        <w:rPr>
          <w:lang w:val="en-US"/>
        </w:rPr>
        <w:t>4</w:t>
      </w:r>
      <w:r>
        <w:rPr>
          <w:lang w:val="en-US"/>
        </w:rPr>
        <w:t>]</w:t>
      </w:r>
      <w:r w:rsidR="00720188">
        <w:rPr>
          <w:lang w:val="en-US"/>
        </w:rPr>
        <w:t xml:space="preserve"> </w:t>
      </w:r>
      <w:r w:rsidR="00200C93">
        <w:rPr>
          <w:lang w:val="en-US"/>
        </w:rPr>
        <w:t xml:space="preserve">T. </w:t>
      </w:r>
      <w:proofErr w:type="spellStart"/>
      <w:r w:rsidR="00200C93">
        <w:rPr>
          <w:lang w:val="en-US"/>
        </w:rPr>
        <w:t>Benkó</w:t>
      </w:r>
      <w:proofErr w:type="spellEnd"/>
      <w:r w:rsidR="00200C93">
        <w:rPr>
          <w:lang w:val="en-US"/>
        </w:rPr>
        <w:t xml:space="preserve">, D. </w:t>
      </w:r>
      <w:proofErr w:type="spellStart"/>
      <w:r w:rsidR="00200C93">
        <w:rPr>
          <w:lang w:val="en-US"/>
        </w:rPr>
        <w:t>Lukács</w:t>
      </w:r>
      <w:proofErr w:type="spellEnd"/>
      <w:r w:rsidR="00200C93">
        <w:rPr>
          <w:lang w:val="en-US"/>
        </w:rPr>
        <w:t xml:space="preserve">, K. Frey </w:t>
      </w:r>
      <w:r w:rsidR="00200C93" w:rsidRPr="00200C93">
        <w:rPr>
          <w:i/>
          <w:lang w:val="en-US"/>
        </w:rPr>
        <w:t xml:space="preserve">et al., </w:t>
      </w:r>
      <w:proofErr w:type="spellStart"/>
      <w:r w:rsidR="00200C93" w:rsidRPr="00200C93">
        <w:rPr>
          <w:i/>
          <w:lang w:val="en-US"/>
        </w:rPr>
        <w:t>Catal</w:t>
      </w:r>
      <w:proofErr w:type="spellEnd"/>
      <w:r w:rsidR="00200C93" w:rsidRPr="00200C93">
        <w:rPr>
          <w:i/>
          <w:lang w:val="en-US"/>
        </w:rPr>
        <w:t>. Sci. Technol.,</w:t>
      </w:r>
      <w:r w:rsidR="00200C93" w:rsidRPr="00200C93">
        <w:rPr>
          <w:lang w:val="en-US"/>
        </w:rPr>
        <w:t xml:space="preserve"> </w:t>
      </w:r>
      <w:r w:rsidR="00200C93" w:rsidRPr="00200C93">
        <w:rPr>
          <w:b/>
          <w:lang w:val="en-US"/>
        </w:rPr>
        <w:t>2021</w:t>
      </w:r>
      <w:r w:rsidR="00200C93" w:rsidRPr="00200C93">
        <w:rPr>
          <w:lang w:val="en-US"/>
        </w:rPr>
        <w:t>,</w:t>
      </w:r>
      <w:r w:rsidR="00200C93">
        <w:rPr>
          <w:lang w:val="en-US"/>
        </w:rPr>
        <w:t xml:space="preserve"> </w:t>
      </w:r>
      <w:r w:rsidR="00200C93" w:rsidRPr="00200C93">
        <w:rPr>
          <w:i/>
          <w:lang w:val="en-US"/>
        </w:rPr>
        <w:t>11</w:t>
      </w:r>
      <w:r w:rsidR="00200C93" w:rsidRPr="00200C93">
        <w:rPr>
          <w:lang w:val="en-US"/>
        </w:rPr>
        <w:t>, 6411</w:t>
      </w:r>
    </w:p>
    <w:p w14:paraId="64736EF5" w14:textId="188E38AB" w:rsidR="00200C93" w:rsidRDefault="00200C93" w:rsidP="00F21475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 w:rsidR="00437EC8">
        <w:rPr>
          <w:lang w:val="en-US"/>
        </w:rPr>
        <w:t>5</w:t>
      </w:r>
      <w:r>
        <w:rPr>
          <w:lang w:val="en-US"/>
        </w:rPr>
        <w:t>] S.-M. Al-</w:t>
      </w:r>
      <w:proofErr w:type="spellStart"/>
      <w:r>
        <w:rPr>
          <w:lang w:val="en-US"/>
        </w:rPr>
        <w:t>Zuraiji</w:t>
      </w:r>
      <w:proofErr w:type="spellEnd"/>
      <w:r>
        <w:rPr>
          <w:lang w:val="en-US"/>
        </w:rPr>
        <w:t xml:space="preserve">, T. </w:t>
      </w:r>
      <w:proofErr w:type="spellStart"/>
      <w:r>
        <w:rPr>
          <w:lang w:val="en-US"/>
        </w:rPr>
        <w:t>Benkó</w:t>
      </w:r>
      <w:proofErr w:type="spellEnd"/>
      <w:r>
        <w:rPr>
          <w:lang w:val="en-US"/>
        </w:rPr>
        <w:t xml:space="preserve">, K. Frey, </w:t>
      </w:r>
      <w:r w:rsidRPr="00200C93">
        <w:rPr>
          <w:i/>
          <w:lang w:val="en-US"/>
        </w:rPr>
        <w:t>et al., Catalysts</w:t>
      </w:r>
      <w:r w:rsidRPr="00200C93">
        <w:rPr>
          <w:lang w:val="en-US"/>
        </w:rPr>
        <w:t xml:space="preserve"> </w:t>
      </w:r>
      <w:r w:rsidRPr="00200C93">
        <w:rPr>
          <w:b/>
          <w:lang w:val="en-US"/>
        </w:rPr>
        <w:t>2021</w:t>
      </w:r>
      <w:r>
        <w:rPr>
          <w:lang w:val="en-US"/>
        </w:rPr>
        <w:t xml:space="preserve">, </w:t>
      </w:r>
      <w:r w:rsidRPr="00200C93">
        <w:rPr>
          <w:i/>
          <w:lang w:val="en-US"/>
        </w:rPr>
        <w:t>11</w:t>
      </w:r>
      <w:r w:rsidRPr="00200C93">
        <w:rPr>
          <w:lang w:val="en-US"/>
        </w:rPr>
        <w:t>, 577</w:t>
      </w:r>
    </w:p>
    <w:p w14:paraId="27A1AF61" w14:textId="2320C779" w:rsidR="00200C93" w:rsidRPr="00963BC5" w:rsidRDefault="00200C93" w:rsidP="00F21475">
      <w:pPr>
        <w:pStyle w:val="Default"/>
        <w:jc w:val="both"/>
      </w:pPr>
      <w:r>
        <w:rPr>
          <w:lang w:val="en-US"/>
        </w:rPr>
        <w:t>[</w:t>
      </w:r>
      <w:r w:rsidR="00437EC8">
        <w:rPr>
          <w:lang w:val="en-US"/>
        </w:rPr>
        <w:t>6</w:t>
      </w:r>
      <w:r>
        <w:rPr>
          <w:lang w:val="en-US"/>
        </w:rPr>
        <w:t>] S.-M. Al-</w:t>
      </w:r>
      <w:proofErr w:type="spellStart"/>
      <w:r>
        <w:rPr>
          <w:lang w:val="en-US"/>
        </w:rPr>
        <w:t>Zuraiji</w:t>
      </w:r>
      <w:proofErr w:type="spellEnd"/>
      <w:r>
        <w:rPr>
          <w:lang w:val="en-US"/>
        </w:rPr>
        <w:t xml:space="preserve">, T. </w:t>
      </w:r>
      <w:proofErr w:type="spellStart"/>
      <w:r>
        <w:rPr>
          <w:lang w:val="en-US"/>
        </w:rPr>
        <w:t>Benkó</w:t>
      </w:r>
      <w:proofErr w:type="spellEnd"/>
      <w:r>
        <w:rPr>
          <w:lang w:val="en-US"/>
        </w:rPr>
        <w:t xml:space="preserve">, K. Frey, </w:t>
      </w:r>
      <w:r w:rsidRPr="00200C93">
        <w:rPr>
          <w:i/>
          <w:lang w:val="en-US"/>
        </w:rPr>
        <w:t xml:space="preserve">et al., J. </w:t>
      </w:r>
      <w:proofErr w:type="spellStart"/>
      <w:r w:rsidRPr="00200C93">
        <w:rPr>
          <w:i/>
          <w:lang w:val="en-US"/>
        </w:rPr>
        <w:t>Catal</w:t>
      </w:r>
      <w:proofErr w:type="spellEnd"/>
      <w:r w:rsidRPr="00200C93">
        <w:rPr>
          <w:i/>
          <w:lang w:val="en-US"/>
        </w:rPr>
        <w:t>.</w:t>
      </w:r>
      <w:r>
        <w:rPr>
          <w:lang w:val="en-US"/>
        </w:rPr>
        <w:t xml:space="preserve"> </w:t>
      </w:r>
      <w:r w:rsidRPr="00200C93">
        <w:rPr>
          <w:b/>
          <w:lang w:val="en-US"/>
        </w:rPr>
        <w:t>2020</w:t>
      </w:r>
      <w:r>
        <w:rPr>
          <w:lang w:val="en-US"/>
        </w:rPr>
        <w:t xml:space="preserve">, </w:t>
      </w:r>
      <w:r w:rsidRPr="00200C93">
        <w:rPr>
          <w:i/>
          <w:lang w:val="en-US"/>
        </w:rPr>
        <w:t>381</w:t>
      </w:r>
      <w:r>
        <w:rPr>
          <w:lang w:val="en-US"/>
        </w:rPr>
        <w:t>, 615.</w:t>
      </w:r>
    </w:p>
    <w:p w14:paraId="2E173E71" w14:textId="411899D8" w:rsidR="00963BC5" w:rsidRPr="00963BC5" w:rsidRDefault="00963BC5" w:rsidP="00963BC5">
      <w:pPr>
        <w:pStyle w:val="Szvegtrzs2"/>
        <w:spacing w:before="240"/>
        <w:rPr>
          <w:color w:val="000000"/>
          <w:szCs w:val="24"/>
          <w:lang w:eastAsia="el-GR"/>
        </w:rPr>
      </w:pPr>
    </w:p>
    <w:p w14:paraId="521EF359" w14:textId="5B544887" w:rsidR="00172F51" w:rsidRPr="00172F51" w:rsidRDefault="00F21475" w:rsidP="00F21475">
      <w:pPr>
        <w:spacing w:line="240" w:lineRule="auto"/>
        <w:jc w:val="both"/>
        <w:rPr>
          <w:lang w:val="en-US"/>
        </w:rPr>
      </w:pPr>
      <w:r w:rsidRPr="00F21475">
        <w:rPr>
          <w:rFonts w:ascii="Times New Roman" w:hAnsi="Times New Roman"/>
          <w:b/>
          <w:color w:val="000000"/>
          <w:sz w:val="24"/>
          <w:szCs w:val="24"/>
          <w:lang w:val="en-US"/>
        </w:rPr>
        <w:t>Acknowledgments.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F21475">
        <w:rPr>
          <w:rFonts w:ascii="Times New Roman" w:hAnsi="Times New Roman"/>
          <w:color w:val="000000"/>
          <w:sz w:val="24"/>
          <w:szCs w:val="24"/>
          <w:lang w:val="en-US"/>
        </w:rPr>
        <w:t>This work is supported by the National Research, Innovation and Development Office of Hungary (Grant nu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mber TKP2021-NKTA-05) </w:t>
      </w:r>
      <w:r w:rsidRPr="00F21475">
        <w:rPr>
          <w:rFonts w:ascii="Times New Roman" w:hAnsi="Times New Roman"/>
          <w:color w:val="000000"/>
          <w:sz w:val="24"/>
          <w:szCs w:val="24"/>
          <w:lang w:val="en-US"/>
        </w:rPr>
        <w:t xml:space="preserve">and the European Union's HORIZON-MSCA-2023-SE-01 under grant agreement No 101183082 - </w:t>
      </w:r>
      <w:proofErr w:type="spellStart"/>
      <w:r w:rsidRPr="00F21475">
        <w:rPr>
          <w:rFonts w:ascii="Times New Roman" w:hAnsi="Times New Roman"/>
          <w:color w:val="000000"/>
          <w:sz w:val="24"/>
          <w:szCs w:val="24"/>
          <w:lang w:val="en-US"/>
        </w:rPr>
        <w:t>PacemCAT</w:t>
      </w:r>
      <w:proofErr w:type="spellEnd"/>
      <w:r w:rsidRPr="00F21475">
        <w:rPr>
          <w:rFonts w:ascii="Times New Roman" w:hAnsi="Times New Roman"/>
          <w:color w:val="000000"/>
          <w:sz w:val="24"/>
          <w:szCs w:val="24"/>
          <w:lang w:val="en-US"/>
        </w:rPr>
        <w:t>. We also thank the Renewable Energy National Laboratory (Hungary) for support, financed by the RRF-2.3.1-21- 2022-00009 project.</w:t>
      </w:r>
      <w:r w:rsidR="00172F51" w:rsidRPr="00E16B73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 </w:t>
      </w:r>
    </w:p>
    <w:sectPr w:rsidR="00172F51" w:rsidRPr="00172F51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177D6"/>
    <w:rsid w:val="0007701F"/>
    <w:rsid w:val="000C71EF"/>
    <w:rsid w:val="00121694"/>
    <w:rsid w:val="00172F51"/>
    <w:rsid w:val="00200C93"/>
    <w:rsid w:val="002613C6"/>
    <w:rsid w:val="002A0132"/>
    <w:rsid w:val="002B1B1E"/>
    <w:rsid w:val="003B4CA0"/>
    <w:rsid w:val="00437EC8"/>
    <w:rsid w:val="004573FD"/>
    <w:rsid w:val="0047107B"/>
    <w:rsid w:val="004B6517"/>
    <w:rsid w:val="004E0655"/>
    <w:rsid w:val="00574ABC"/>
    <w:rsid w:val="005A1240"/>
    <w:rsid w:val="00720188"/>
    <w:rsid w:val="00720782"/>
    <w:rsid w:val="008E26FD"/>
    <w:rsid w:val="00910550"/>
    <w:rsid w:val="00951488"/>
    <w:rsid w:val="00963BC5"/>
    <w:rsid w:val="009A3324"/>
    <w:rsid w:val="00B1331E"/>
    <w:rsid w:val="00B14154"/>
    <w:rsid w:val="00BC3385"/>
    <w:rsid w:val="00C67C56"/>
    <w:rsid w:val="00C82B73"/>
    <w:rsid w:val="00D43A4E"/>
    <w:rsid w:val="00D95571"/>
    <w:rsid w:val="00DC42A2"/>
    <w:rsid w:val="00DE2C63"/>
    <w:rsid w:val="00E16B73"/>
    <w:rsid w:val="00E412FD"/>
    <w:rsid w:val="00E50186"/>
    <w:rsid w:val="00F21475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uborkszveg">
    <w:name w:val="Balloon Text"/>
    <w:basedOn w:val="Norml"/>
    <w:link w:val="Buborkszveg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Szvegtrzs2">
    <w:name w:val="Body Text 2"/>
    <w:basedOn w:val="Norml"/>
    <w:link w:val="Szvegtrzs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Szvegtrzs2Char">
    <w:name w:val="Szövegtörzs 2 Char"/>
    <w:basedOn w:val="Bekezdsalapbettpusa"/>
    <w:link w:val="Szvegtrzs2"/>
    <w:rsid w:val="00963BC5"/>
    <w:rPr>
      <w:sz w:val="24"/>
      <w:lang w:eastAsia="en-GB"/>
    </w:rPr>
  </w:style>
  <w:style w:type="character" w:styleId="Hiperhivatkozs">
    <w:name w:val="Hyperlink"/>
    <w:rsid w:val="00963BC5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460</Words>
  <Characters>3178</Characters>
  <Application>Microsoft Office Word</Application>
  <DocSecurity>0</DocSecurity>
  <Lines>26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pap.jozsef</cp:lastModifiedBy>
  <cp:revision>6</cp:revision>
  <dcterms:created xsi:type="dcterms:W3CDTF">2025-06-02T13:25:00Z</dcterms:created>
  <dcterms:modified xsi:type="dcterms:W3CDTF">2025-06-02T14:07:00Z</dcterms:modified>
</cp:coreProperties>
</file>