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09DB736F" w:rsidR="00172F51" w:rsidRPr="00E412FD" w:rsidRDefault="00C77292" w:rsidP="00C77292">
      <w:pPr>
        <w:pStyle w:val="Default"/>
        <w:jc w:val="center"/>
        <w:rPr>
          <w:sz w:val="28"/>
          <w:szCs w:val="28"/>
          <w:lang w:val="en-US"/>
        </w:rPr>
      </w:pPr>
      <w:r>
        <w:rPr>
          <w:rFonts w:hint="eastAsia"/>
          <w:b/>
          <w:bCs/>
          <w:sz w:val="28"/>
          <w:szCs w:val="28"/>
          <w:lang w:val="en-US" w:eastAsia="ja-JP"/>
        </w:rPr>
        <w:t>F</w:t>
      </w:r>
      <w:r w:rsidRPr="00C77292">
        <w:rPr>
          <w:b/>
          <w:bCs/>
          <w:sz w:val="28"/>
          <w:szCs w:val="28"/>
          <w:lang w:val="en-US"/>
        </w:rPr>
        <w:t xml:space="preserve">ast solution of inverse problems </w:t>
      </w:r>
      <w:r>
        <w:rPr>
          <w:rFonts w:hint="eastAsia"/>
          <w:b/>
          <w:bCs/>
          <w:sz w:val="28"/>
          <w:szCs w:val="28"/>
          <w:lang w:val="en-US" w:eastAsia="ja-JP"/>
        </w:rPr>
        <w:t xml:space="preserve">on IGZO </w:t>
      </w:r>
      <w:r w:rsidRPr="00C77292">
        <w:rPr>
          <w:b/>
          <w:bCs/>
          <w:sz w:val="28"/>
          <w:szCs w:val="28"/>
          <w:lang w:val="en-US"/>
        </w:rPr>
        <w:t>transistor characterization</w:t>
      </w:r>
      <w:r w:rsidR="00710967">
        <w:rPr>
          <w:b/>
          <w:bCs/>
          <w:sz w:val="28"/>
          <w:szCs w:val="28"/>
          <w:lang w:val="en-US"/>
        </w:rPr>
        <w:t xml:space="preserve"> </w:t>
      </w:r>
      <w:r w:rsidRPr="00C77292">
        <w:rPr>
          <w:b/>
          <w:bCs/>
          <w:sz w:val="28"/>
          <w:szCs w:val="28"/>
          <w:lang w:val="en-US"/>
        </w:rPr>
        <w:t>via tandem neural</w:t>
      </w:r>
      <w:r>
        <w:rPr>
          <w:rFonts w:hint="eastAsia"/>
          <w:b/>
          <w:bCs/>
          <w:sz w:val="28"/>
          <w:szCs w:val="28"/>
          <w:lang w:val="en-US" w:eastAsia="ja-JP"/>
        </w:rPr>
        <w:t xml:space="preserve"> </w:t>
      </w:r>
      <w:r w:rsidRPr="00C77292">
        <w:rPr>
          <w:b/>
          <w:bCs/>
          <w:sz w:val="28"/>
          <w:szCs w:val="28"/>
          <w:lang w:val="en-US"/>
        </w:rPr>
        <w:t>network</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06CEBCED" w:rsidR="0007701F" w:rsidRDefault="00C77292" w:rsidP="00172F51">
      <w:pPr>
        <w:pStyle w:val="Default"/>
        <w:jc w:val="center"/>
        <w:rPr>
          <w:sz w:val="22"/>
          <w:szCs w:val="22"/>
          <w:lang w:val="en-US"/>
        </w:rPr>
      </w:pPr>
      <w:r w:rsidRPr="00C77292">
        <w:rPr>
          <w:sz w:val="22"/>
          <w:szCs w:val="22"/>
          <w:lang w:val="en-US"/>
        </w:rPr>
        <w:t>K</w:t>
      </w:r>
      <w:r>
        <w:rPr>
          <w:rFonts w:hint="eastAsia"/>
          <w:sz w:val="22"/>
          <w:szCs w:val="22"/>
          <w:lang w:val="en-US" w:eastAsia="ja-JP"/>
        </w:rPr>
        <w:t>.</w:t>
      </w:r>
      <w:r w:rsidRPr="00C77292">
        <w:rPr>
          <w:sz w:val="22"/>
          <w:szCs w:val="22"/>
          <w:lang w:val="en-US"/>
        </w:rPr>
        <w:t xml:space="preserve"> Ide</w:t>
      </w:r>
      <w:r w:rsidRPr="00C77292">
        <w:rPr>
          <w:sz w:val="22"/>
          <w:szCs w:val="22"/>
          <w:vertAlign w:val="superscript"/>
          <w:lang w:val="en-US"/>
        </w:rPr>
        <w:t>1</w:t>
      </w:r>
      <w:r w:rsidRPr="00C77292">
        <w:rPr>
          <w:sz w:val="22"/>
          <w:szCs w:val="22"/>
          <w:lang w:val="en-US"/>
        </w:rPr>
        <w:t>, M</w:t>
      </w:r>
      <w:r>
        <w:rPr>
          <w:rFonts w:hint="eastAsia"/>
          <w:sz w:val="22"/>
          <w:szCs w:val="22"/>
          <w:lang w:val="en-US" w:eastAsia="ja-JP"/>
        </w:rPr>
        <w:t>.</w:t>
      </w:r>
      <w:r w:rsidRPr="00C77292">
        <w:rPr>
          <w:sz w:val="22"/>
          <w:szCs w:val="22"/>
          <w:lang w:val="en-US"/>
        </w:rPr>
        <w:t xml:space="preserve"> Kimura</w:t>
      </w:r>
      <w:r w:rsidRPr="00C77292">
        <w:rPr>
          <w:sz w:val="22"/>
          <w:szCs w:val="22"/>
          <w:vertAlign w:val="superscript"/>
          <w:lang w:val="en-US"/>
        </w:rPr>
        <w:t>1</w:t>
      </w:r>
      <w:r w:rsidRPr="00C77292">
        <w:rPr>
          <w:sz w:val="22"/>
          <w:szCs w:val="22"/>
          <w:lang w:val="en-US"/>
        </w:rPr>
        <w:t>, A</w:t>
      </w:r>
      <w:r>
        <w:rPr>
          <w:rFonts w:hint="eastAsia"/>
          <w:sz w:val="22"/>
          <w:szCs w:val="22"/>
          <w:lang w:val="en-US" w:eastAsia="ja-JP"/>
        </w:rPr>
        <w:t>.</w:t>
      </w:r>
      <w:r w:rsidRPr="00C77292">
        <w:rPr>
          <w:sz w:val="22"/>
          <w:szCs w:val="22"/>
          <w:lang w:val="en-US"/>
        </w:rPr>
        <w:t xml:space="preserve"> Shimizu</w:t>
      </w:r>
      <w:r w:rsidRPr="00C77292">
        <w:rPr>
          <w:sz w:val="22"/>
          <w:szCs w:val="22"/>
          <w:vertAlign w:val="superscript"/>
          <w:lang w:val="en-US"/>
        </w:rPr>
        <w:t>1</w:t>
      </w:r>
      <w:r w:rsidRPr="00C77292">
        <w:rPr>
          <w:sz w:val="22"/>
          <w:szCs w:val="22"/>
          <w:lang w:val="en-US"/>
        </w:rPr>
        <w:t>, T</w:t>
      </w:r>
      <w:r>
        <w:rPr>
          <w:rFonts w:hint="eastAsia"/>
          <w:sz w:val="22"/>
          <w:szCs w:val="22"/>
          <w:lang w:val="en-US" w:eastAsia="ja-JP"/>
        </w:rPr>
        <w:t>.</w:t>
      </w:r>
      <w:r w:rsidRPr="00C77292">
        <w:rPr>
          <w:sz w:val="22"/>
          <w:szCs w:val="22"/>
          <w:lang w:val="en-US"/>
        </w:rPr>
        <w:t xml:space="preserve"> Katase</w:t>
      </w:r>
      <w:r w:rsidRPr="00C77292">
        <w:rPr>
          <w:sz w:val="22"/>
          <w:szCs w:val="22"/>
          <w:vertAlign w:val="superscript"/>
          <w:lang w:val="en-US"/>
        </w:rPr>
        <w:t>1</w:t>
      </w:r>
      <w:r w:rsidRPr="00C77292">
        <w:rPr>
          <w:sz w:val="22"/>
          <w:szCs w:val="22"/>
          <w:lang w:val="en-US"/>
        </w:rPr>
        <w:t>, H</w:t>
      </w:r>
      <w:r>
        <w:rPr>
          <w:rFonts w:hint="eastAsia"/>
          <w:sz w:val="22"/>
          <w:szCs w:val="22"/>
          <w:lang w:val="en-US" w:eastAsia="ja-JP"/>
        </w:rPr>
        <w:t>.</w:t>
      </w:r>
      <w:r w:rsidRPr="00C77292">
        <w:rPr>
          <w:sz w:val="22"/>
          <w:szCs w:val="22"/>
          <w:lang w:val="en-US"/>
        </w:rPr>
        <w:t xml:space="preserve"> Hiramatsu</w:t>
      </w:r>
      <w:r w:rsidRPr="00C77292">
        <w:rPr>
          <w:sz w:val="22"/>
          <w:szCs w:val="22"/>
          <w:vertAlign w:val="superscript"/>
          <w:lang w:val="en-US"/>
        </w:rPr>
        <w:t>1,</w:t>
      </w:r>
      <w:r>
        <w:rPr>
          <w:rFonts w:hint="eastAsia"/>
          <w:sz w:val="22"/>
          <w:szCs w:val="22"/>
          <w:vertAlign w:val="superscript"/>
          <w:lang w:val="en-US" w:eastAsia="ja-JP"/>
        </w:rPr>
        <w:t>2</w:t>
      </w:r>
      <w:r w:rsidRPr="00C77292">
        <w:rPr>
          <w:sz w:val="22"/>
          <w:szCs w:val="22"/>
          <w:lang w:val="en-US"/>
        </w:rPr>
        <w:t>, H</w:t>
      </w:r>
      <w:r>
        <w:rPr>
          <w:rFonts w:hint="eastAsia"/>
          <w:sz w:val="22"/>
          <w:szCs w:val="22"/>
          <w:lang w:val="en-US" w:eastAsia="ja-JP"/>
        </w:rPr>
        <w:t>.</w:t>
      </w:r>
      <w:r w:rsidRPr="00C77292">
        <w:rPr>
          <w:sz w:val="22"/>
          <w:szCs w:val="22"/>
          <w:lang w:val="en-US"/>
        </w:rPr>
        <w:t xml:space="preserve"> Hosono</w:t>
      </w:r>
      <w:r w:rsidRPr="00C77292">
        <w:rPr>
          <w:sz w:val="22"/>
          <w:szCs w:val="22"/>
          <w:vertAlign w:val="superscript"/>
          <w:lang w:val="en-US"/>
        </w:rPr>
        <w:t>1</w:t>
      </w:r>
      <w:r w:rsidRPr="00C77292">
        <w:rPr>
          <w:sz w:val="22"/>
          <w:szCs w:val="22"/>
          <w:lang w:val="en-US"/>
        </w:rPr>
        <w:t>, and T</w:t>
      </w:r>
      <w:r>
        <w:rPr>
          <w:rFonts w:hint="eastAsia"/>
          <w:sz w:val="22"/>
          <w:szCs w:val="22"/>
          <w:lang w:val="en-US" w:eastAsia="ja-JP"/>
        </w:rPr>
        <w:t>.</w:t>
      </w:r>
      <w:r w:rsidRPr="00C77292">
        <w:rPr>
          <w:sz w:val="22"/>
          <w:szCs w:val="22"/>
          <w:lang w:val="en-US"/>
        </w:rPr>
        <w:t xml:space="preserve"> Kamiya</w:t>
      </w:r>
      <w:r w:rsidRPr="00C77292">
        <w:rPr>
          <w:sz w:val="22"/>
          <w:szCs w:val="22"/>
          <w:vertAlign w:val="superscript"/>
          <w:lang w:val="en-US"/>
        </w:rPr>
        <w:t>1</w:t>
      </w:r>
    </w:p>
    <w:p w14:paraId="467BAA5F" w14:textId="519E1585" w:rsidR="00DD4E85" w:rsidRDefault="00DD4E85" w:rsidP="00172F51">
      <w:pPr>
        <w:pStyle w:val="Default"/>
        <w:jc w:val="center"/>
        <w:rPr>
          <w:i/>
          <w:iCs/>
          <w:sz w:val="22"/>
          <w:szCs w:val="22"/>
          <w:lang w:val="en-US"/>
        </w:rPr>
      </w:pPr>
      <w:r w:rsidRPr="00DD4E85">
        <w:rPr>
          <w:i/>
          <w:iCs/>
          <w:sz w:val="22"/>
          <w:szCs w:val="22"/>
          <w:vertAlign w:val="superscript"/>
          <w:lang w:val="en-US"/>
        </w:rPr>
        <w:t>1</w:t>
      </w:r>
      <w:r>
        <w:rPr>
          <w:rFonts w:hint="eastAsia"/>
          <w:i/>
          <w:iCs/>
          <w:sz w:val="22"/>
          <w:szCs w:val="22"/>
          <w:lang w:val="en-US" w:eastAsia="ja-JP"/>
        </w:rPr>
        <w:t xml:space="preserve"> </w:t>
      </w:r>
      <w:r w:rsidRPr="00DD4E85">
        <w:rPr>
          <w:i/>
          <w:iCs/>
          <w:sz w:val="22"/>
          <w:szCs w:val="22"/>
          <w:lang w:val="en-US"/>
        </w:rPr>
        <w:t xml:space="preserve">MDX Research Center for Element Strategy, Institute of Integrated Research, </w:t>
      </w:r>
    </w:p>
    <w:p w14:paraId="5C03D2A1" w14:textId="6559559F" w:rsidR="00DD4E85" w:rsidRDefault="00DD4E85" w:rsidP="00172F51">
      <w:pPr>
        <w:pStyle w:val="Default"/>
        <w:jc w:val="center"/>
        <w:rPr>
          <w:i/>
          <w:iCs/>
          <w:sz w:val="22"/>
          <w:szCs w:val="22"/>
          <w:lang w:val="en-US"/>
        </w:rPr>
      </w:pPr>
      <w:r w:rsidRPr="00DD4E85">
        <w:rPr>
          <w:i/>
          <w:iCs/>
          <w:sz w:val="22"/>
          <w:szCs w:val="22"/>
          <w:lang w:val="en-US"/>
        </w:rPr>
        <w:t>Institute of Science Toky</w:t>
      </w:r>
      <w:r>
        <w:rPr>
          <w:rFonts w:hint="eastAsia"/>
          <w:i/>
          <w:iCs/>
          <w:sz w:val="22"/>
          <w:szCs w:val="22"/>
          <w:lang w:val="en-US" w:eastAsia="ja-JP"/>
        </w:rPr>
        <w:t>o</w:t>
      </w:r>
      <w:r w:rsidRPr="00DD4E85">
        <w:rPr>
          <w:i/>
          <w:iCs/>
          <w:sz w:val="22"/>
          <w:szCs w:val="22"/>
          <w:lang w:val="en-US"/>
        </w:rPr>
        <w:t>,</w:t>
      </w:r>
      <w:r w:rsidR="00710967">
        <w:rPr>
          <w:i/>
          <w:iCs/>
          <w:sz w:val="22"/>
          <w:szCs w:val="22"/>
          <w:lang w:val="en-US"/>
        </w:rPr>
        <w:t xml:space="preserve"> </w:t>
      </w:r>
      <w:r w:rsidRPr="00DD4E85">
        <w:rPr>
          <w:i/>
          <w:iCs/>
          <w:sz w:val="22"/>
          <w:szCs w:val="22"/>
          <w:lang w:val="en-US"/>
        </w:rPr>
        <w:t>Yokohama, Japan</w:t>
      </w:r>
    </w:p>
    <w:p w14:paraId="48948EC8" w14:textId="49E06E7A" w:rsidR="00DD4E85" w:rsidRDefault="00DD4E85" w:rsidP="00172F51">
      <w:pPr>
        <w:pStyle w:val="Default"/>
        <w:jc w:val="center"/>
        <w:rPr>
          <w:i/>
          <w:iCs/>
          <w:sz w:val="22"/>
          <w:szCs w:val="22"/>
          <w:lang w:val="en-US"/>
        </w:rPr>
      </w:pPr>
      <w:r w:rsidRPr="00DD4E85">
        <w:rPr>
          <w:i/>
          <w:iCs/>
          <w:sz w:val="22"/>
          <w:szCs w:val="22"/>
          <w:vertAlign w:val="superscript"/>
          <w:lang w:val="en-US"/>
        </w:rPr>
        <w:t>2</w:t>
      </w:r>
      <w:r>
        <w:rPr>
          <w:i/>
          <w:iCs/>
          <w:sz w:val="22"/>
          <w:szCs w:val="22"/>
          <w:lang w:val="en-US"/>
        </w:rPr>
        <w:t xml:space="preserve"> </w:t>
      </w:r>
      <w:r w:rsidRPr="00DD4E85">
        <w:rPr>
          <w:i/>
          <w:iCs/>
          <w:sz w:val="22"/>
          <w:szCs w:val="22"/>
          <w:lang w:val="en-US"/>
        </w:rPr>
        <w:t xml:space="preserve">Materials and Structures Laboratory, Institute of Integrated Research, </w:t>
      </w:r>
    </w:p>
    <w:p w14:paraId="48D2A0C1" w14:textId="571EA2EB" w:rsidR="00172F51" w:rsidRPr="00B00A4B" w:rsidRDefault="00DD4E85" w:rsidP="00172F51">
      <w:pPr>
        <w:pStyle w:val="Default"/>
        <w:jc w:val="center"/>
        <w:rPr>
          <w:i/>
          <w:iCs/>
          <w:sz w:val="22"/>
          <w:szCs w:val="22"/>
          <w:lang w:val="en-US"/>
        </w:rPr>
      </w:pPr>
      <w:r w:rsidRPr="00DD4E85">
        <w:rPr>
          <w:i/>
          <w:iCs/>
          <w:sz w:val="22"/>
          <w:szCs w:val="22"/>
          <w:lang w:val="en-US"/>
        </w:rPr>
        <w:t xml:space="preserve">Institute of Science Tokyo, Yokohama, Japan </w:t>
      </w:r>
    </w:p>
    <w:p w14:paraId="536DF3AA" w14:textId="6471A05D" w:rsidR="00172F51" w:rsidRDefault="00DD4E85" w:rsidP="00172F51">
      <w:pPr>
        <w:pStyle w:val="Default"/>
        <w:jc w:val="center"/>
        <w:rPr>
          <w:i/>
          <w:iCs/>
          <w:sz w:val="22"/>
          <w:szCs w:val="22"/>
          <w:lang w:val="en-US" w:eastAsia="ja-JP"/>
        </w:rPr>
      </w:pPr>
      <w:r>
        <w:rPr>
          <w:rFonts w:hint="eastAsia"/>
          <w:i/>
          <w:iCs/>
          <w:sz w:val="22"/>
          <w:szCs w:val="22"/>
          <w:lang w:val="en-US" w:eastAsia="ja-JP"/>
        </w:rPr>
        <w:t>E</w:t>
      </w:r>
      <w:r>
        <w:rPr>
          <w:i/>
          <w:iCs/>
          <w:sz w:val="22"/>
          <w:szCs w:val="22"/>
          <w:lang w:val="en-US" w:eastAsia="ja-JP"/>
        </w:rPr>
        <w:t xml:space="preserve"> mail</w:t>
      </w:r>
      <w:r w:rsidR="00731B81">
        <w:rPr>
          <w:i/>
          <w:iCs/>
          <w:sz w:val="22"/>
          <w:szCs w:val="22"/>
          <w:lang w:val="en-US" w:eastAsia="ja-JP"/>
        </w:rPr>
        <w:t xml:space="preserve">: </w:t>
      </w:r>
      <w:r w:rsidR="00C77292">
        <w:rPr>
          <w:rFonts w:hint="eastAsia"/>
          <w:i/>
          <w:iCs/>
          <w:sz w:val="22"/>
          <w:szCs w:val="22"/>
          <w:lang w:val="en-US" w:eastAsia="ja-JP"/>
        </w:rPr>
        <w:t>ide.k.ab</w:t>
      </w:r>
      <w:r w:rsidR="00731B81">
        <w:rPr>
          <w:i/>
          <w:iCs/>
          <w:sz w:val="22"/>
          <w:szCs w:val="22"/>
          <w:lang w:val="en-US" w:eastAsia="ja-JP"/>
        </w:rPr>
        <w:t>@m.titech.ac.jp</w:t>
      </w:r>
    </w:p>
    <w:p w14:paraId="26A2AE79" w14:textId="77777777" w:rsidR="00172F51" w:rsidRPr="00B00A4B" w:rsidRDefault="00172F51" w:rsidP="00172F51">
      <w:pPr>
        <w:pStyle w:val="Default"/>
        <w:jc w:val="both"/>
        <w:rPr>
          <w:lang w:val="en-US"/>
        </w:rPr>
      </w:pPr>
    </w:p>
    <w:p w14:paraId="646CF2C2" w14:textId="45BA3F7B" w:rsidR="00A96FA3" w:rsidRPr="00233451" w:rsidRDefault="00A96FA3" w:rsidP="00A96FA3">
      <w:pPr>
        <w:spacing w:line="240" w:lineRule="auto"/>
        <w:jc w:val="both"/>
        <w:rPr>
          <w:rFonts w:ascii="Times New Roman" w:hAnsi="Times New Roman"/>
          <w:color w:val="000000"/>
          <w:sz w:val="24"/>
          <w:szCs w:val="24"/>
          <w:lang w:val="en-US"/>
        </w:rPr>
      </w:pPr>
      <w:r w:rsidRPr="00A96FA3">
        <w:rPr>
          <w:rFonts w:ascii="Times New Roman" w:hAnsi="Times New Roman"/>
          <w:color w:val="000000"/>
          <w:sz w:val="24"/>
          <w:szCs w:val="24"/>
          <w:lang w:val="en-US"/>
        </w:rPr>
        <w:t xml:space="preserve">Operation characteristics of </w:t>
      </w:r>
      <w:r w:rsidR="002C2A52">
        <w:rPr>
          <w:rFonts w:ascii="Times New Roman" w:hAnsi="Times New Roman" w:hint="eastAsia"/>
          <w:color w:val="000000"/>
          <w:sz w:val="24"/>
          <w:szCs w:val="24"/>
          <w:lang w:val="en-US" w:eastAsia="ja-JP"/>
        </w:rPr>
        <w:t>In-Ga-Zn-O thin-film transistors (TFTs)</w:t>
      </w:r>
      <w:r w:rsidRPr="00A96FA3">
        <w:rPr>
          <w:rFonts w:ascii="Times New Roman" w:hAnsi="Times New Roman"/>
          <w:color w:val="000000"/>
          <w:sz w:val="24"/>
          <w:szCs w:val="24"/>
          <w:lang w:val="en-US"/>
        </w:rPr>
        <w:t xml:space="preserve"> are influenced by semiconductor properties of their channel layers such as defect distributions and electron transport properties, which are altered largely by process conditions [1]. Accordingly, it is important to analyze these semiconductor properties for feedback to the process conditions to improve TFT performances. TCAD device simulators are useful tools for simulating TFT characteristics from input of semiconductor properties and device structures (forward problem). In contrast, there was no approach to solve the inverse problem that calculates semiconductor properties directly from TFT characteristics; therefore, non-linear optimization using TCAD simulations is employed but it needs large numbers of trial-and-error calculations and is expensive in time. Such </w:t>
      </w:r>
      <w:proofErr w:type="gramStart"/>
      <w:r w:rsidRPr="00A96FA3">
        <w:rPr>
          <w:rFonts w:ascii="Times New Roman" w:hAnsi="Times New Roman"/>
          <w:color w:val="000000"/>
          <w:sz w:val="24"/>
          <w:szCs w:val="24"/>
          <w:lang w:val="en-US"/>
        </w:rPr>
        <w:t>inverse</w:t>
      </w:r>
      <w:proofErr w:type="gramEnd"/>
      <w:r w:rsidRPr="00A96FA3">
        <w:rPr>
          <w:rFonts w:ascii="Times New Roman" w:hAnsi="Times New Roman"/>
          <w:color w:val="000000"/>
          <w:sz w:val="24"/>
          <w:szCs w:val="24"/>
          <w:lang w:val="en-US"/>
        </w:rPr>
        <w:t xml:space="preserve"> problem process is expected to speed up by machine learning (ML) approaches. It is, however, challenging due to the </w:t>
      </w:r>
      <w:proofErr w:type="spellStart"/>
      <w:r w:rsidRPr="00A96FA3">
        <w:rPr>
          <w:rFonts w:ascii="Times New Roman" w:hAnsi="Times New Roman"/>
          <w:color w:val="000000"/>
          <w:sz w:val="24"/>
          <w:szCs w:val="24"/>
          <w:lang w:val="en-US"/>
        </w:rPr>
        <w:t>multivaluedness</w:t>
      </w:r>
      <w:proofErr w:type="spellEnd"/>
      <w:r w:rsidRPr="00A96FA3">
        <w:rPr>
          <w:rFonts w:ascii="Times New Roman" w:hAnsi="Times New Roman"/>
          <w:color w:val="000000"/>
          <w:sz w:val="24"/>
          <w:szCs w:val="24"/>
          <w:lang w:val="en-US"/>
        </w:rPr>
        <w:t xml:space="preserve"> in the relation between semiconductor properties and TFT characteristics; different semiconductor properties may give nearly the same TFT operation characteristics. </w:t>
      </w:r>
    </w:p>
    <w:p w14:paraId="4749A4C8" w14:textId="4F87837B" w:rsidR="00A96FA3" w:rsidRDefault="002C2A52" w:rsidP="00A96FA3">
      <w:pPr>
        <w:spacing w:line="240" w:lineRule="auto"/>
        <w:jc w:val="both"/>
        <w:rPr>
          <w:rFonts w:ascii="Times New Roman" w:hAnsi="Times New Roman"/>
          <w:color w:val="000000"/>
          <w:sz w:val="24"/>
          <w:szCs w:val="24"/>
          <w:lang w:val="en-US"/>
        </w:rPr>
      </w:pPr>
      <w:r w:rsidRPr="00516B65">
        <w:rPr>
          <w:noProof/>
        </w:rPr>
        <mc:AlternateContent>
          <mc:Choice Requires="wps">
            <w:drawing>
              <wp:anchor distT="45720" distB="45720" distL="114300" distR="114300" simplePos="0" relativeHeight="251659264" behindDoc="0" locked="0" layoutInCell="1" allowOverlap="1" wp14:anchorId="76E2AA76" wp14:editId="38D38770">
                <wp:simplePos x="0" y="0"/>
                <wp:positionH relativeFrom="margin">
                  <wp:align>right</wp:align>
                </wp:positionH>
                <wp:positionV relativeFrom="margin">
                  <wp:posOffset>4308591</wp:posOffset>
                </wp:positionV>
                <wp:extent cx="2146935" cy="4509135"/>
                <wp:effectExtent l="0" t="0" r="5715" b="5715"/>
                <wp:wrapSquare wrapText="bothSides"/>
                <wp:docPr id="2041249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4509654"/>
                        </a:xfrm>
                        <a:prstGeom prst="rect">
                          <a:avLst/>
                        </a:prstGeom>
                        <a:solidFill>
                          <a:srgbClr val="FFFFFF"/>
                        </a:solidFill>
                        <a:ln w="9525">
                          <a:noFill/>
                          <a:miter lim="800000"/>
                          <a:headEnd/>
                          <a:tailEnd/>
                        </a:ln>
                      </wps:spPr>
                      <wps:txbx>
                        <w:txbxContent>
                          <w:p w14:paraId="5D56E77A" w14:textId="6B38F4BA" w:rsidR="002C2A52" w:rsidRDefault="002C2A52" w:rsidP="002C2A52">
                            <w:pPr>
                              <w:pStyle w:val="Body"/>
                              <w:ind w:firstLine="0"/>
                              <w:jc w:val="center"/>
                              <w:rPr>
                                <w:color w:val="auto"/>
                              </w:rPr>
                            </w:pPr>
                            <w:r>
                              <w:rPr>
                                <w:rFonts w:asciiTheme="majorHAnsi" w:hAnsiTheme="majorHAnsi" w:cstheme="majorHAnsi"/>
                                <w:noProof/>
                                <w:color w:val="auto"/>
                                <w:szCs w:val="18"/>
                              </w:rPr>
                              <w:drawing>
                                <wp:inline distT="0" distB="0" distL="0" distR="0" wp14:anchorId="64143770" wp14:editId="729695D2">
                                  <wp:extent cx="1648691" cy="1711692"/>
                                  <wp:effectExtent l="0" t="0" r="8890" b="3175"/>
                                  <wp:docPr id="1749122935" name="図 9"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45848" name="図 9" descr="グラフィカル ユーザー インターフェイス&#10;&#10;自動的に生成された説明"/>
                                          <pic:cNvPicPr>
                                            <a:picLocks noChangeAspect="1" noChangeArrowheads="1"/>
                                          </pic:cNvPicPr>
                                        </pic:nvPicPr>
                                        <pic:blipFill rotWithShape="1">
                                          <a:blip r:embed="rId4">
                                            <a:extLst>
                                              <a:ext uri="{28A0092B-C50C-407E-A947-70E740481C1C}">
                                                <a14:useLocalDpi xmlns:a14="http://schemas.microsoft.com/office/drawing/2010/main" val="0"/>
                                              </a:ext>
                                            </a:extLst>
                                          </a:blip>
                                          <a:srcRect l="1841" t="2791" r="53471" b="48511"/>
                                          <a:stretch/>
                                        </pic:blipFill>
                                        <pic:spPr bwMode="auto">
                                          <a:xfrm>
                                            <a:off x="0" y="0"/>
                                            <a:ext cx="1655864" cy="17191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noProof/>
                                <w:color w:val="auto"/>
                                <w:szCs w:val="18"/>
                              </w:rPr>
                              <w:drawing>
                                <wp:inline distT="0" distB="0" distL="0" distR="0" wp14:anchorId="031184AD" wp14:editId="796FADCC">
                                  <wp:extent cx="1758662" cy="1717964"/>
                                  <wp:effectExtent l="0" t="0" r="0" b="0"/>
                                  <wp:docPr id="1939061997" name="図 9"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45848" name="図 9" descr="グラフィカル ユーザー インターフェイス&#10;&#10;自動的に生成された説明"/>
                                          <pic:cNvPicPr>
                                            <a:picLocks noChangeAspect="1" noChangeArrowheads="1"/>
                                          </pic:cNvPicPr>
                                        </pic:nvPicPr>
                                        <pic:blipFill rotWithShape="1">
                                          <a:blip r:embed="rId4">
                                            <a:extLst>
                                              <a:ext uri="{28A0092B-C50C-407E-A947-70E740481C1C}">
                                                <a14:useLocalDpi xmlns:a14="http://schemas.microsoft.com/office/drawing/2010/main" val="0"/>
                                              </a:ext>
                                            </a:extLst>
                                          </a:blip>
                                          <a:srcRect l="46687" t="2791" r="5819" b="48511"/>
                                          <a:stretch/>
                                        </pic:blipFill>
                                        <pic:spPr bwMode="auto">
                                          <a:xfrm>
                                            <a:off x="0" y="0"/>
                                            <a:ext cx="1767756" cy="1726847"/>
                                          </a:xfrm>
                                          <a:prstGeom prst="rect">
                                            <a:avLst/>
                                          </a:prstGeom>
                                          <a:noFill/>
                                          <a:ln>
                                            <a:noFill/>
                                          </a:ln>
                                          <a:extLst>
                                            <a:ext uri="{53640926-AAD7-44D8-BBD7-CCE9431645EC}">
                                              <a14:shadowObscured xmlns:a14="http://schemas.microsoft.com/office/drawing/2010/main"/>
                                            </a:ext>
                                          </a:extLst>
                                        </pic:spPr>
                                      </pic:pic>
                                    </a:graphicData>
                                  </a:graphic>
                                </wp:inline>
                              </w:drawing>
                            </w:r>
                          </w:p>
                          <w:p w14:paraId="69FB2DAD" w14:textId="7E5FCF17" w:rsidR="002C2A52" w:rsidRPr="002C2A52" w:rsidRDefault="002C2A52" w:rsidP="002C2A52">
                            <w:pPr>
                              <w:pStyle w:val="Body"/>
                              <w:ind w:firstLine="0"/>
                              <w:rPr>
                                <w:rFonts w:asciiTheme="majorHAnsi" w:hAnsiTheme="majorHAnsi" w:cstheme="majorHAnsi"/>
                                <w:color w:val="auto"/>
                                <w:sz w:val="21"/>
                                <w:szCs w:val="21"/>
                              </w:rPr>
                            </w:pPr>
                            <w:r w:rsidRPr="002C2A52">
                              <w:rPr>
                                <w:rFonts w:asciiTheme="majorHAnsi" w:hAnsiTheme="majorHAnsi" w:cstheme="majorHAnsi" w:hint="eastAsia"/>
                                <w:color w:val="auto"/>
                                <w:sz w:val="21"/>
                                <w:szCs w:val="21"/>
                              </w:rPr>
                              <w:t xml:space="preserve">Figure: </w:t>
                            </w:r>
                            <w:r w:rsidRPr="002C2A52">
                              <w:rPr>
                                <w:rFonts w:asciiTheme="majorHAnsi" w:hAnsiTheme="majorHAnsi" w:cstheme="majorHAnsi" w:hint="eastAsia"/>
                                <w:color w:val="auto"/>
                                <w:sz w:val="21"/>
                                <w:szCs w:val="21"/>
                              </w:rPr>
                              <w:t>Parity plot showing r</w:t>
                            </w:r>
                            <w:r w:rsidRPr="002C2A52">
                              <w:rPr>
                                <w:rFonts w:asciiTheme="majorHAnsi" w:hAnsiTheme="majorHAnsi" w:cstheme="majorHAnsi"/>
                                <w:color w:val="auto"/>
                                <w:sz w:val="21"/>
                                <w:szCs w:val="21"/>
                              </w:rPr>
                              <w:t>eproduction accuracies of TFT parameter, Von, from obtained semiconductor parameters with simple inverse NN and Tandem 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2AA76" id="_x0000_t202" coordsize="21600,21600" o:spt="202" path="m,l,21600r21600,l21600,xe">
                <v:stroke joinstyle="miter"/>
                <v:path gradientshapeok="t" o:connecttype="rect"/>
              </v:shapetype>
              <v:shape id="テキスト ボックス 2" o:spid="_x0000_s1026" type="#_x0000_t202" style="position:absolute;left:0;text-align:left;margin-left:117.85pt;margin-top:339.25pt;width:169.05pt;height:355.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" stroked="f">
                <v:textbox>
                  <w:txbxContent>
                    <w:p w14:paraId="5D56E77A" w14:textId="6B38F4BA" w:rsidR="002C2A52" w:rsidRDefault="002C2A52" w:rsidP="002C2A52">
                      <w:pPr>
                        <w:pStyle w:val="Body"/>
                        <w:ind w:firstLine="0"/>
                        <w:jc w:val="center"/>
                        <w:rPr>
                          <w:color w:val="auto"/>
                        </w:rPr>
                      </w:pPr>
                      <w:r>
                        <w:rPr>
                          <w:rFonts w:asciiTheme="majorHAnsi" w:hAnsiTheme="majorHAnsi" w:cstheme="majorHAnsi"/>
                          <w:noProof/>
                          <w:color w:val="auto"/>
                          <w:szCs w:val="18"/>
                        </w:rPr>
                        <w:drawing>
                          <wp:inline distT="0" distB="0" distL="0" distR="0" wp14:anchorId="64143770" wp14:editId="729695D2">
                            <wp:extent cx="1648691" cy="1711692"/>
                            <wp:effectExtent l="0" t="0" r="8890" b="3175"/>
                            <wp:docPr id="1749122935" name="図 9"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45848" name="図 9" descr="グラフィカル ユーザー インターフェイス&#10;&#10;自動的に生成された説明"/>
                                    <pic:cNvPicPr>
                                      <a:picLocks noChangeAspect="1" noChangeArrowheads="1"/>
                                    </pic:cNvPicPr>
                                  </pic:nvPicPr>
                                  <pic:blipFill rotWithShape="1">
                                    <a:blip r:embed="rId4">
                                      <a:extLst>
                                        <a:ext uri="{28A0092B-C50C-407E-A947-70E740481C1C}">
                                          <a14:useLocalDpi xmlns:a14="http://schemas.microsoft.com/office/drawing/2010/main" val="0"/>
                                        </a:ext>
                                      </a:extLst>
                                    </a:blip>
                                    <a:srcRect l="1841" t="2791" r="53471" b="48511"/>
                                    <a:stretch/>
                                  </pic:blipFill>
                                  <pic:spPr bwMode="auto">
                                    <a:xfrm>
                                      <a:off x="0" y="0"/>
                                      <a:ext cx="1655864" cy="171914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noProof/>
                          <w:color w:val="auto"/>
                          <w:szCs w:val="18"/>
                        </w:rPr>
                        <w:drawing>
                          <wp:inline distT="0" distB="0" distL="0" distR="0" wp14:anchorId="031184AD" wp14:editId="796FADCC">
                            <wp:extent cx="1758662" cy="1717964"/>
                            <wp:effectExtent l="0" t="0" r="0" b="0"/>
                            <wp:docPr id="1939061997" name="図 9"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45848" name="図 9" descr="グラフィカル ユーザー インターフェイス&#10;&#10;自動的に生成された説明"/>
                                    <pic:cNvPicPr>
                                      <a:picLocks noChangeAspect="1" noChangeArrowheads="1"/>
                                    </pic:cNvPicPr>
                                  </pic:nvPicPr>
                                  <pic:blipFill rotWithShape="1">
                                    <a:blip r:embed="rId4">
                                      <a:extLst>
                                        <a:ext uri="{28A0092B-C50C-407E-A947-70E740481C1C}">
                                          <a14:useLocalDpi xmlns:a14="http://schemas.microsoft.com/office/drawing/2010/main" val="0"/>
                                        </a:ext>
                                      </a:extLst>
                                    </a:blip>
                                    <a:srcRect l="46687" t="2791" r="5819" b="48511"/>
                                    <a:stretch/>
                                  </pic:blipFill>
                                  <pic:spPr bwMode="auto">
                                    <a:xfrm>
                                      <a:off x="0" y="0"/>
                                      <a:ext cx="1767756" cy="1726847"/>
                                    </a:xfrm>
                                    <a:prstGeom prst="rect">
                                      <a:avLst/>
                                    </a:prstGeom>
                                    <a:noFill/>
                                    <a:ln>
                                      <a:noFill/>
                                    </a:ln>
                                    <a:extLst>
                                      <a:ext uri="{53640926-AAD7-44D8-BBD7-CCE9431645EC}">
                                        <a14:shadowObscured xmlns:a14="http://schemas.microsoft.com/office/drawing/2010/main"/>
                                      </a:ext>
                                    </a:extLst>
                                  </pic:spPr>
                                </pic:pic>
                              </a:graphicData>
                            </a:graphic>
                          </wp:inline>
                        </w:drawing>
                      </w:r>
                    </w:p>
                    <w:p w14:paraId="69FB2DAD" w14:textId="7E5FCF17" w:rsidR="002C2A52" w:rsidRPr="002C2A52" w:rsidRDefault="002C2A52" w:rsidP="002C2A52">
                      <w:pPr>
                        <w:pStyle w:val="Body"/>
                        <w:ind w:firstLine="0"/>
                        <w:rPr>
                          <w:rFonts w:asciiTheme="majorHAnsi" w:hAnsiTheme="majorHAnsi" w:cstheme="majorHAnsi"/>
                          <w:color w:val="auto"/>
                          <w:sz w:val="21"/>
                          <w:szCs w:val="21"/>
                        </w:rPr>
                      </w:pPr>
                      <w:r w:rsidRPr="002C2A52">
                        <w:rPr>
                          <w:rFonts w:asciiTheme="majorHAnsi" w:hAnsiTheme="majorHAnsi" w:cstheme="majorHAnsi" w:hint="eastAsia"/>
                          <w:color w:val="auto"/>
                          <w:sz w:val="21"/>
                          <w:szCs w:val="21"/>
                        </w:rPr>
                        <w:t xml:space="preserve">Figure: </w:t>
                      </w:r>
                      <w:r w:rsidRPr="002C2A52">
                        <w:rPr>
                          <w:rFonts w:asciiTheme="majorHAnsi" w:hAnsiTheme="majorHAnsi" w:cstheme="majorHAnsi" w:hint="eastAsia"/>
                          <w:color w:val="auto"/>
                          <w:sz w:val="21"/>
                          <w:szCs w:val="21"/>
                        </w:rPr>
                        <w:t>Parity plot showing r</w:t>
                      </w:r>
                      <w:r w:rsidRPr="002C2A52">
                        <w:rPr>
                          <w:rFonts w:asciiTheme="majorHAnsi" w:hAnsiTheme="majorHAnsi" w:cstheme="majorHAnsi"/>
                          <w:color w:val="auto"/>
                          <w:sz w:val="21"/>
                          <w:szCs w:val="21"/>
                        </w:rPr>
                        <w:t>eproduction accuracies of TFT parameter, Von, from obtained semiconductor parameters with simple inverse NN and Tandem NN</w:t>
                      </w:r>
                    </w:p>
                  </w:txbxContent>
                </v:textbox>
                <w10:wrap type="square" anchorx="margin" anchory="margin"/>
              </v:shape>
            </w:pict>
          </mc:Fallback>
        </mc:AlternateContent>
      </w:r>
      <w:r w:rsidR="00A96FA3" w:rsidRPr="00B225DA">
        <w:rPr>
          <w:rFonts w:ascii="Times New Roman" w:hAnsi="Times New Roman"/>
          <w:color w:val="000000"/>
          <w:sz w:val="24"/>
          <w:szCs w:val="24"/>
          <w:lang w:val="en-US"/>
        </w:rPr>
        <w:t xml:space="preserve">  </w:t>
      </w:r>
      <w:r w:rsidRPr="002C2A52">
        <w:rPr>
          <w:rFonts w:ascii="Times New Roman" w:hAnsi="Times New Roman"/>
          <w:color w:val="000000"/>
          <w:sz w:val="24"/>
          <w:szCs w:val="24"/>
          <w:lang w:val="en-US"/>
        </w:rPr>
        <w:t>This study develops a neural network (NN) model to solve multivalued inverse problems and applies it to the fast analysis of semiconductor parameters from transistor characteristics. Conventional inverse NNs have been utilized for such problems by simply swapping descriptors and objective variables; however, they struggle to predict semiconductor parameters that exhibit ranges exceeding several orders of magnitude. We employ a tandem NN architecture that connects a pre-trained forward NN and an inverse NN, where the total loss function includes both the prediction errors of semiconductor parameters and the reconstruction errors of transistor characteristics, each weighted appropriately. As a result, we successfully performed inverse analysis to estimate physically plausible semiconductor parameters that accurately reproduce transistor characteristics. Our results enable real-time and autonomous analysis and feedback control of semiconductor and device fabrication processes, helping accelerate the development of new semiconductor materials and devices.</w:t>
      </w:r>
    </w:p>
    <w:p w14:paraId="1F275407" w14:textId="79B78563" w:rsidR="00B225DA" w:rsidRPr="00233451" w:rsidRDefault="002C2A52" w:rsidP="002C2A52">
      <w:pPr>
        <w:spacing w:line="240" w:lineRule="auto"/>
        <w:jc w:val="both"/>
        <w:rPr>
          <w:rFonts w:ascii="Times New Roman" w:hAnsi="Times New Roman" w:hint="eastAsia"/>
          <w:color w:val="000000"/>
          <w:lang w:val="de-DE" w:eastAsia="ja-JP"/>
        </w:rPr>
      </w:pPr>
      <w:r w:rsidRPr="002C2A52">
        <w:rPr>
          <w:rFonts w:ascii="Times New Roman" w:hAnsi="Times New Roman"/>
          <w:color w:val="000000"/>
          <w:sz w:val="24"/>
          <w:szCs w:val="24"/>
          <w:lang w:val="en-US"/>
        </w:rPr>
        <w:t>[1]</w:t>
      </w:r>
      <w:r w:rsidRPr="002C2A52">
        <w:rPr>
          <w:rFonts w:ascii="Times New Roman" w:hAnsi="Times New Roman"/>
          <w:color w:val="000000"/>
          <w:sz w:val="24"/>
          <w:szCs w:val="24"/>
          <w:lang w:val="en-US"/>
        </w:rPr>
        <w:tab/>
        <w:t>K. Ide, K. Nomura, H. Hosono and T. Kamiya. “Electronic Defects in Amorphous Oxide Semiconductors”, Physica Status Solidi (A) Applications and Materials Science vol. 216 (2019).</w:t>
      </w:r>
    </w:p>
    <w:sectPr w:rsidR="00B225DA" w:rsidRPr="002334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23021"/>
    <w:rsid w:val="00042AB2"/>
    <w:rsid w:val="000705AA"/>
    <w:rsid w:val="00071B63"/>
    <w:rsid w:val="00072ADA"/>
    <w:rsid w:val="0007701F"/>
    <w:rsid w:val="000A2AF8"/>
    <w:rsid w:val="000A59F6"/>
    <w:rsid w:val="000C71EF"/>
    <w:rsid w:val="0010210B"/>
    <w:rsid w:val="0014096A"/>
    <w:rsid w:val="00172F51"/>
    <w:rsid w:val="001D73DA"/>
    <w:rsid w:val="00201998"/>
    <w:rsid w:val="00233451"/>
    <w:rsid w:val="002613C6"/>
    <w:rsid w:val="00283945"/>
    <w:rsid w:val="002A0132"/>
    <w:rsid w:val="002B1B1E"/>
    <w:rsid w:val="002C2A52"/>
    <w:rsid w:val="002D26B6"/>
    <w:rsid w:val="003037E4"/>
    <w:rsid w:val="00312742"/>
    <w:rsid w:val="003141E9"/>
    <w:rsid w:val="003218F2"/>
    <w:rsid w:val="00322C37"/>
    <w:rsid w:val="00342C11"/>
    <w:rsid w:val="00342FEA"/>
    <w:rsid w:val="003744F6"/>
    <w:rsid w:val="00385D47"/>
    <w:rsid w:val="003B72FB"/>
    <w:rsid w:val="003D0E35"/>
    <w:rsid w:val="00435280"/>
    <w:rsid w:val="004433FE"/>
    <w:rsid w:val="004573FD"/>
    <w:rsid w:val="0047107B"/>
    <w:rsid w:val="0047216B"/>
    <w:rsid w:val="004B6517"/>
    <w:rsid w:val="004E0655"/>
    <w:rsid w:val="005303BC"/>
    <w:rsid w:val="005474A9"/>
    <w:rsid w:val="00574ABC"/>
    <w:rsid w:val="00590AC9"/>
    <w:rsid w:val="005A1240"/>
    <w:rsid w:val="005D3346"/>
    <w:rsid w:val="00630678"/>
    <w:rsid w:val="006341D5"/>
    <w:rsid w:val="006552FE"/>
    <w:rsid w:val="0068770A"/>
    <w:rsid w:val="00696620"/>
    <w:rsid w:val="006C1905"/>
    <w:rsid w:val="00710967"/>
    <w:rsid w:val="00720782"/>
    <w:rsid w:val="00731B81"/>
    <w:rsid w:val="007822A8"/>
    <w:rsid w:val="0078773B"/>
    <w:rsid w:val="0085459E"/>
    <w:rsid w:val="00864E87"/>
    <w:rsid w:val="008D5FC3"/>
    <w:rsid w:val="008E0223"/>
    <w:rsid w:val="008E26FD"/>
    <w:rsid w:val="008E3C55"/>
    <w:rsid w:val="00910550"/>
    <w:rsid w:val="00963BC5"/>
    <w:rsid w:val="009A2282"/>
    <w:rsid w:val="009A3324"/>
    <w:rsid w:val="009F57C5"/>
    <w:rsid w:val="00A24CB7"/>
    <w:rsid w:val="00A64DF4"/>
    <w:rsid w:val="00A91999"/>
    <w:rsid w:val="00A96FA3"/>
    <w:rsid w:val="00AB1383"/>
    <w:rsid w:val="00AD50B0"/>
    <w:rsid w:val="00AE55F3"/>
    <w:rsid w:val="00B04ED7"/>
    <w:rsid w:val="00B14154"/>
    <w:rsid w:val="00B225DA"/>
    <w:rsid w:val="00B24597"/>
    <w:rsid w:val="00B604CE"/>
    <w:rsid w:val="00B63B11"/>
    <w:rsid w:val="00B77F6A"/>
    <w:rsid w:val="00B90D95"/>
    <w:rsid w:val="00BC3385"/>
    <w:rsid w:val="00C324A7"/>
    <w:rsid w:val="00C67C56"/>
    <w:rsid w:val="00C737B3"/>
    <w:rsid w:val="00C77292"/>
    <w:rsid w:val="00D75BFA"/>
    <w:rsid w:val="00D96E5F"/>
    <w:rsid w:val="00DC42A2"/>
    <w:rsid w:val="00DD4E85"/>
    <w:rsid w:val="00E16B73"/>
    <w:rsid w:val="00E32829"/>
    <w:rsid w:val="00E412FD"/>
    <w:rsid w:val="00E43BD8"/>
    <w:rsid w:val="00E50186"/>
    <w:rsid w:val="00E52F56"/>
    <w:rsid w:val="00E5504A"/>
    <w:rsid w:val="00E95141"/>
    <w:rsid w:val="00F00747"/>
    <w:rsid w:val="00F724D4"/>
    <w:rsid w:val="00F819B4"/>
    <w:rsid w:val="00FA138B"/>
    <w:rsid w:val="00FA5593"/>
    <w:rsid w:val="00FD0D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吹き出し (文字)"/>
    <w:basedOn w:val="a0"/>
    <w:link w:val="a3"/>
    <w:rsid w:val="002A0132"/>
    <w:rPr>
      <w:rFonts w:ascii="Tahoma" w:hAnsi="Tahoma" w:cs="Tahoma"/>
      <w:sz w:val="16"/>
      <w:szCs w:val="16"/>
      <w:lang w:val="el-GR" w:eastAsia="el-GR"/>
    </w:rPr>
  </w:style>
  <w:style w:type="paragraph" w:styleId="2">
    <w:name w:val="Body Text 2"/>
    <w:basedOn w:val="a"/>
    <w:link w:val="20"/>
    <w:rsid w:val="00963BC5"/>
    <w:pPr>
      <w:spacing w:after="0" w:line="240" w:lineRule="auto"/>
      <w:jc w:val="both"/>
    </w:pPr>
    <w:rPr>
      <w:rFonts w:ascii="Times New Roman" w:hAnsi="Times New Roman"/>
      <w:sz w:val="24"/>
      <w:szCs w:val="20"/>
      <w:lang w:val="en-US" w:eastAsia="en-GB"/>
    </w:rPr>
  </w:style>
  <w:style w:type="character" w:customStyle="1" w:styleId="20">
    <w:name w:val="本文 2 (文字)"/>
    <w:basedOn w:val="a0"/>
    <w:link w:val="2"/>
    <w:rsid w:val="00963BC5"/>
    <w:rPr>
      <w:sz w:val="24"/>
      <w:lang w:eastAsia="en-GB"/>
    </w:rPr>
  </w:style>
  <w:style w:type="character" w:styleId="a5">
    <w:name w:val="Hyperlink"/>
    <w:rsid w:val="00963BC5"/>
    <w:rPr>
      <w:color w:val="0000FF"/>
      <w:u w:val="single"/>
    </w:rPr>
  </w:style>
  <w:style w:type="character" w:styleId="a6">
    <w:name w:val="Unresolved Mention"/>
    <w:basedOn w:val="a0"/>
    <w:uiPriority w:val="99"/>
    <w:semiHidden/>
    <w:unhideWhenUsed/>
    <w:rsid w:val="00963BC5"/>
    <w:rPr>
      <w:color w:val="605E5C"/>
      <w:shd w:val="clear" w:color="auto" w:fill="E1DFDD"/>
    </w:rPr>
  </w:style>
  <w:style w:type="paragraph" w:customStyle="1" w:styleId="References">
    <w:name w:val="References"/>
    <w:basedOn w:val="a"/>
    <w:link w:val="References0"/>
    <w:qFormat/>
    <w:rsid w:val="00C77292"/>
    <w:pPr>
      <w:widowControl w:val="0"/>
      <w:autoSpaceDE w:val="0"/>
      <w:autoSpaceDN w:val="0"/>
      <w:adjustRightInd w:val="0"/>
      <w:spacing w:after="0" w:line="240" w:lineRule="atLeast"/>
      <w:ind w:left="426" w:right="-4" w:hangingChars="213" w:hanging="426"/>
      <w:jc w:val="both"/>
    </w:pPr>
    <w:rPr>
      <w:rFonts w:ascii="Arial" w:eastAsia="ＭＳ 明朝" w:hAnsi="Arial" w:cs="Arial"/>
      <w:color w:val="000000"/>
      <w:sz w:val="20"/>
      <w:szCs w:val="20"/>
      <w:lang w:val="en-US" w:eastAsia="ja-JP"/>
    </w:rPr>
  </w:style>
  <w:style w:type="paragraph" w:customStyle="1" w:styleId="Body">
    <w:name w:val="Body"/>
    <w:basedOn w:val="a"/>
    <w:link w:val="Body0"/>
    <w:qFormat/>
    <w:rsid w:val="00C77292"/>
    <w:pPr>
      <w:widowControl w:val="0"/>
      <w:autoSpaceDE w:val="0"/>
      <w:autoSpaceDN w:val="0"/>
      <w:adjustRightInd w:val="0"/>
      <w:spacing w:after="0" w:line="240" w:lineRule="atLeast"/>
      <w:ind w:right="12" w:firstLine="220"/>
      <w:jc w:val="both"/>
    </w:pPr>
    <w:rPr>
      <w:rFonts w:ascii="Arial" w:eastAsiaTheme="majorEastAsia" w:hAnsi="Arial" w:cs="Arial"/>
      <w:color w:val="000000"/>
      <w:sz w:val="18"/>
      <w:szCs w:val="20"/>
      <w:lang w:val="en-US" w:eastAsia="ja-JP"/>
    </w:rPr>
  </w:style>
  <w:style w:type="character" w:customStyle="1" w:styleId="Body0">
    <w:name w:val="Body (文字)"/>
    <w:basedOn w:val="a0"/>
    <w:link w:val="Body"/>
    <w:rsid w:val="00C77292"/>
    <w:rPr>
      <w:rFonts w:ascii="Arial" w:eastAsiaTheme="majorEastAsia" w:hAnsi="Arial" w:cs="Arial"/>
      <w:color w:val="000000"/>
      <w:sz w:val="18"/>
      <w:lang w:eastAsia="ja-JP"/>
    </w:rPr>
  </w:style>
  <w:style w:type="character" w:customStyle="1" w:styleId="References0">
    <w:name w:val="References (文字)"/>
    <w:basedOn w:val="a0"/>
    <w:link w:val="References"/>
    <w:rsid w:val="00C77292"/>
    <w:rPr>
      <w:rFonts w:ascii="Arial" w:eastAsia="ＭＳ 明朝" w:hAnsi="Arial" w:cs="Arial"/>
      <w:color w:val="000000"/>
      <w:lang w:eastAsia="ja-JP"/>
    </w:rPr>
  </w:style>
  <w:style w:type="paragraph" w:styleId="a7">
    <w:name w:val="Body Text"/>
    <w:basedOn w:val="a"/>
    <w:link w:val="a8"/>
    <w:semiHidden/>
    <w:unhideWhenUsed/>
    <w:rsid w:val="00B225DA"/>
  </w:style>
  <w:style w:type="character" w:customStyle="1" w:styleId="a8">
    <w:name w:val="本文 (文字)"/>
    <w:basedOn w:val="a0"/>
    <w:link w:val="a7"/>
    <w:semiHidden/>
    <w:rsid w:val="00B225DA"/>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428</Words>
  <Characters>2441</Characters>
  <Application>Microsoft Office Word</Application>
  <DocSecurity>0</DocSecurity>
  <Lines>20</Lines>
  <Paragraphs>5</Paragraphs>
  <ScaleCrop>false</ScaleCrop>
  <HeadingPairs>
    <vt:vector size="6" baseType="variant">
      <vt:variant>
        <vt:lpstr>タイトル</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井手 啓介 / Keisuke Ide</cp:lastModifiedBy>
  <cp:revision>3</cp:revision>
  <dcterms:created xsi:type="dcterms:W3CDTF">2025-06-02T09:05:00Z</dcterms:created>
  <dcterms:modified xsi:type="dcterms:W3CDTF">2025-06-02T09:27:00Z</dcterms:modified>
</cp:coreProperties>
</file>