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6968" w14:textId="7438AC3F" w:rsidR="00172F51" w:rsidRPr="001855D1" w:rsidRDefault="00912E2E" w:rsidP="00912E2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55D1">
        <w:rPr>
          <w:rFonts w:ascii="Times New Roman" w:hAnsi="Times New Roman"/>
          <w:b/>
          <w:bCs/>
          <w:sz w:val="28"/>
          <w:szCs w:val="28"/>
        </w:rPr>
        <w:t xml:space="preserve">Computational </w:t>
      </w:r>
      <w:r w:rsidR="00CF2DEC" w:rsidRPr="001855D1">
        <w:rPr>
          <w:rFonts w:ascii="Times New Roman" w:hAnsi="Times New Roman"/>
          <w:b/>
          <w:bCs/>
          <w:sz w:val="28"/>
          <w:szCs w:val="28"/>
        </w:rPr>
        <w:t>prediction</w:t>
      </w:r>
      <w:r w:rsidRPr="001855D1">
        <w:rPr>
          <w:rFonts w:ascii="Times New Roman" w:hAnsi="Times New Roman"/>
          <w:b/>
          <w:bCs/>
          <w:sz w:val="28"/>
          <w:szCs w:val="28"/>
        </w:rPr>
        <w:t xml:space="preserve"> of Cd</w:t>
      </w:r>
      <w:r w:rsidRPr="001855D1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1855D1">
        <w:rPr>
          <w:rFonts w:ascii="Times New Roman" w:hAnsi="Times New Roman"/>
          <w:b/>
          <w:bCs/>
          <w:sz w:val="28"/>
          <w:szCs w:val="28"/>
        </w:rPr>
        <w:t>Sb</w:t>
      </w:r>
      <w:r w:rsidRPr="001855D1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1855D1">
        <w:rPr>
          <w:rFonts w:ascii="Times New Roman" w:hAnsi="Times New Roman"/>
          <w:b/>
          <w:bCs/>
          <w:sz w:val="28"/>
          <w:szCs w:val="28"/>
        </w:rPr>
        <w:t>O</w:t>
      </w:r>
      <w:r w:rsidRPr="001855D1">
        <w:rPr>
          <w:rFonts w:ascii="Times New Roman" w:hAnsi="Times New Roman"/>
          <w:b/>
          <w:bCs/>
          <w:sz w:val="28"/>
          <w:szCs w:val="28"/>
          <w:vertAlign w:val="subscript"/>
        </w:rPr>
        <w:t>7</w:t>
      </w:r>
      <w:r w:rsidRPr="001855D1">
        <w:rPr>
          <w:rFonts w:ascii="Times New Roman" w:hAnsi="Times New Roman"/>
          <w:b/>
          <w:bCs/>
          <w:sz w:val="28"/>
          <w:szCs w:val="28"/>
        </w:rPr>
        <w:t xml:space="preserve"> as a candidate TCO</w:t>
      </w:r>
    </w:p>
    <w:p w14:paraId="35088509" w14:textId="77777777" w:rsidR="00172F51" w:rsidRPr="001855D1" w:rsidRDefault="00172F51" w:rsidP="00172F51">
      <w:pPr>
        <w:pStyle w:val="Default"/>
        <w:jc w:val="center"/>
        <w:rPr>
          <w:lang w:val="en-GB"/>
        </w:rPr>
      </w:pPr>
    </w:p>
    <w:p w14:paraId="22E48456" w14:textId="60B36B59" w:rsidR="0007701F" w:rsidRPr="001855D1" w:rsidRDefault="00912E2E" w:rsidP="00172F51">
      <w:pPr>
        <w:pStyle w:val="Default"/>
        <w:jc w:val="center"/>
        <w:rPr>
          <w:sz w:val="22"/>
          <w:szCs w:val="22"/>
          <w:lang w:val="en-GB"/>
        </w:rPr>
      </w:pPr>
      <w:r w:rsidRPr="001855D1">
        <w:rPr>
          <w:sz w:val="22"/>
          <w:szCs w:val="22"/>
          <w:u w:val="single"/>
          <w:lang w:val="en-GB"/>
        </w:rPr>
        <w:t>Peter P. Russell</w:t>
      </w:r>
      <w:r w:rsidRPr="001855D1">
        <w:rPr>
          <w:sz w:val="22"/>
          <w:szCs w:val="22"/>
          <w:lang w:val="en-GB"/>
        </w:rPr>
        <w:t>,</w:t>
      </w:r>
      <w:r w:rsidRPr="001855D1">
        <w:rPr>
          <w:sz w:val="22"/>
          <w:szCs w:val="22"/>
          <w:vertAlign w:val="superscript"/>
          <w:lang w:val="en-GB"/>
        </w:rPr>
        <w:t>1</w:t>
      </w:r>
      <w:r w:rsidRPr="001855D1">
        <w:rPr>
          <w:sz w:val="22"/>
          <w:szCs w:val="22"/>
          <w:lang w:val="en-GB"/>
        </w:rPr>
        <w:t xml:space="preserve"> Romain Claes,</w:t>
      </w:r>
      <w:r w:rsidRPr="001855D1">
        <w:rPr>
          <w:sz w:val="22"/>
          <w:szCs w:val="22"/>
          <w:vertAlign w:val="superscript"/>
          <w:lang w:val="en-GB"/>
        </w:rPr>
        <w:t>1</w:t>
      </w:r>
      <w:r w:rsidRPr="001855D1">
        <w:rPr>
          <w:sz w:val="22"/>
          <w:szCs w:val="22"/>
          <w:lang w:val="en-GB"/>
        </w:rPr>
        <w:t xml:space="preserve"> </w:t>
      </w:r>
      <w:r w:rsidR="00C53C24" w:rsidRPr="001855D1">
        <w:rPr>
          <w:sz w:val="22"/>
          <w:szCs w:val="22"/>
          <w:lang w:val="en-GB"/>
        </w:rPr>
        <w:t>Ke Li,</w:t>
      </w:r>
      <w:r w:rsidR="00C53C24" w:rsidRPr="001855D1">
        <w:rPr>
          <w:sz w:val="22"/>
          <w:szCs w:val="22"/>
          <w:vertAlign w:val="superscript"/>
          <w:lang w:val="en-GB"/>
        </w:rPr>
        <w:t>2</w:t>
      </w:r>
      <w:r w:rsidR="00C53C24" w:rsidRPr="001855D1">
        <w:rPr>
          <w:sz w:val="22"/>
          <w:szCs w:val="22"/>
          <w:lang w:val="en-GB"/>
        </w:rPr>
        <w:t xml:space="preserve"> </w:t>
      </w:r>
      <w:r w:rsidRPr="001855D1">
        <w:rPr>
          <w:sz w:val="22"/>
          <w:szCs w:val="22"/>
          <w:lang w:val="en-GB"/>
        </w:rPr>
        <w:t>Alexander G. Squires,</w:t>
      </w:r>
      <w:r w:rsidRPr="001855D1">
        <w:rPr>
          <w:sz w:val="22"/>
          <w:szCs w:val="22"/>
          <w:vertAlign w:val="superscript"/>
          <w:lang w:val="en-GB"/>
        </w:rPr>
        <w:t>1</w:t>
      </w:r>
      <w:r w:rsidRPr="001855D1">
        <w:rPr>
          <w:sz w:val="22"/>
          <w:szCs w:val="22"/>
          <w:lang w:val="en-GB"/>
        </w:rPr>
        <w:t xml:space="preserve"> and David O. Scanlon</w:t>
      </w:r>
      <w:r w:rsidRPr="001855D1">
        <w:rPr>
          <w:sz w:val="22"/>
          <w:szCs w:val="22"/>
          <w:vertAlign w:val="superscript"/>
          <w:lang w:val="en-GB"/>
        </w:rPr>
        <w:t>1</w:t>
      </w:r>
      <w:r w:rsidR="00172F51" w:rsidRPr="001855D1">
        <w:rPr>
          <w:sz w:val="22"/>
          <w:szCs w:val="22"/>
          <w:lang w:val="en-GB"/>
        </w:rPr>
        <w:t xml:space="preserve">, </w:t>
      </w:r>
    </w:p>
    <w:p w14:paraId="33B59775" w14:textId="5F4BABFF" w:rsidR="00172F51" w:rsidRPr="001855D1" w:rsidRDefault="00172F51" w:rsidP="00172F51">
      <w:pPr>
        <w:pStyle w:val="Default"/>
        <w:jc w:val="center"/>
        <w:rPr>
          <w:sz w:val="22"/>
          <w:szCs w:val="22"/>
          <w:lang w:val="en-GB"/>
        </w:rPr>
      </w:pPr>
      <w:r w:rsidRPr="001855D1">
        <w:rPr>
          <w:i/>
          <w:iCs/>
          <w:sz w:val="22"/>
          <w:szCs w:val="22"/>
          <w:vertAlign w:val="superscript"/>
          <w:lang w:val="en-GB"/>
        </w:rPr>
        <w:t>1</w:t>
      </w:r>
      <w:r w:rsidRPr="001855D1">
        <w:rPr>
          <w:i/>
          <w:iCs/>
          <w:sz w:val="22"/>
          <w:szCs w:val="22"/>
          <w:lang w:val="en-GB"/>
        </w:rPr>
        <w:t xml:space="preserve"> </w:t>
      </w:r>
      <w:r w:rsidR="00912E2E" w:rsidRPr="001855D1">
        <w:rPr>
          <w:i/>
          <w:iCs/>
          <w:sz w:val="22"/>
          <w:szCs w:val="22"/>
          <w:lang w:val="en-GB"/>
        </w:rPr>
        <w:t>School of Chemistry, University of Birmingham, Edgbaston, Birmingham, B15 2TT</w:t>
      </w:r>
    </w:p>
    <w:p w14:paraId="536DF3AA" w14:textId="67113565" w:rsidR="00172F51" w:rsidRPr="001855D1" w:rsidRDefault="00172F51" w:rsidP="00912E2E">
      <w:pPr>
        <w:pStyle w:val="Default"/>
        <w:jc w:val="center"/>
        <w:rPr>
          <w:sz w:val="22"/>
          <w:szCs w:val="22"/>
          <w:lang w:val="en-GB"/>
        </w:rPr>
      </w:pPr>
      <w:r w:rsidRPr="001855D1">
        <w:rPr>
          <w:i/>
          <w:iCs/>
          <w:sz w:val="22"/>
          <w:szCs w:val="22"/>
          <w:vertAlign w:val="superscript"/>
          <w:lang w:val="en-GB"/>
        </w:rPr>
        <w:t>2</w:t>
      </w:r>
      <w:r w:rsidRPr="001855D1">
        <w:rPr>
          <w:i/>
          <w:iCs/>
          <w:sz w:val="22"/>
          <w:szCs w:val="22"/>
          <w:lang w:val="en-GB"/>
        </w:rPr>
        <w:t xml:space="preserve"> </w:t>
      </w:r>
      <w:r w:rsidR="00912E2E" w:rsidRPr="001855D1">
        <w:rPr>
          <w:i/>
          <w:iCs/>
          <w:sz w:val="22"/>
          <w:szCs w:val="22"/>
          <w:lang w:val="en-GB"/>
        </w:rPr>
        <w:t>Department of Chemistry, University College London, 20 Gordon Street, London, WC1H 0AJ</w:t>
      </w:r>
    </w:p>
    <w:p w14:paraId="3C299BA5" w14:textId="77777777" w:rsidR="00172F51" w:rsidRPr="001855D1" w:rsidRDefault="00172F51" w:rsidP="00172F51">
      <w:pPr>
        <w:pStyle w:val="Default"/>
        <w:jc w:val="center"/>
        <w:rPr>
          <w:sz w:val="22"/>
          <w:szCs w:val="22"/>
          <w:lang w:val="en-GB"/>
        </w:rPr>
      </w:pPr>
    </w:p>
    <w:p w14:paraId="5018AE62" w14:textId="268D547F" w:rsidR="00912E2E" w:rsidRPr="001855D1" w:rsidRDefault="00912E2E" w:rsidP="00912E2E">
      <w:pPr>
        <w:pStyle w:val="Default"/>
        <w:jc w:val="both"/>
        <w:rPr>
          <w:lang w:val="en-GB"/>
        </w:rPr>
      </w:pPr>
      <w:r w:rsidRPr="001855D1">
        <w:rPr>
          <w:lang w:val="en-GB"/>
        </w:rPr>
        <w:t xml:space="preserve">Transparent conducting oxides (TCOs) are central to the field of modern optoelectronics, displaying a unique combination of high electrical conductivity and optical </w:t>
      </w:r>
      <w:r w:rsidR="004B1CAA" w:rsidRPr="001855D1">
        <w:rPr>
          <w:lang w:val="en-GB"/>
        </w:rPr>
        <w:t>transparency, with</w:t>
      </w:r>
      <w:r w:rsidRPr="001855D1">
        <w:rPr>
          <w:lang w:val="en-GB"/>
        </w:rPr>
        <w:t xml:space="preserve"> applications in touch screens, photovoltaics, LCD and OLED displays, and more.</w:t>
      </w:r>
      <w:r w:rsidR="00F63595" w:rsidRPr="001855D1">
        <w:rPr>
          <w:lang w:val="en-GB"/>
        </w:rPr>
        <w:t xml:space="preserve"> </w:t>
      </w:r>
      <w:r w:rsidRPr="001855D1">
        <w:rPr>
          <w:vertAlign w:val="superscript"/>
          <w:lang w:val="en-GB"/>
        </w:rPr>
        <w:t>[1]</w:t>
      </w:r>
      <w:r w:rsidR="006176B9" w:rsidRPr="001855D1">
        <w:rPr>
          <w:lang w:val="en-GB"/>
        </w:rPr>
        <w:t xml:space="preserve"> </w:t>
      </w:r>
      <w:r w:rsidRPr="001855D1">
        <w:rPr>
          <w:lang w:val="en-GB"/>
        </w:rPr>
        <w:t>The industry standard for TCOs is Sn-doped In</w:t>
      </w:r>
      <w:r w:rsidRPr="001855D1">
        <w:rPr>
          <w:vertAlign w:val="subscript"/>
          <w:lang w:val="en-GB"/>
        </w:rPr>
        <w:t>2</w:t>
      </w:r>
      <w:r w:rsidRPr="001855D1">
        <w:rPr>
          <w:lang w:val="en-GB"/>
        </w:rPr>
        <w:t>O</w:t>
      </w:r>
      <w:r w:rsidRPr="001855D1">
        <w:rPr>
          <w:vertAlign w:val="subscript"/>
          <w:lang w:val="en-GB"/>
        </w:rPr>
        <w:t>3</w:t>
      </w:r>
      <w:r w:rsidRPr="001855D1">
        <w:rPr>
          <w:lang w:val="en-GB"/>
        </w:rPr>
        <w:t xml:space="preserve"> (ITO), which displays optical transmission greater than 90%, with low resistivity and high carrier mobility. However, indium is expensive and has low earth-abundance. Alternative materials that offer comparable or superior properties using different elements</w:t>
      </w:r>
      <w:r w:rsidR="000C24E0" w:rsidRPr="001855D1">
        <w:rPr>
          <w:lang w:val="en-GB"/>
        </w:rPr>
        <w:t xml:space="preserve"> </w:t>
      </w:r>
      <w:r w:rsidRPr="001855D1">
        <w:rPr>
          <w:lang w:val="en-GB"/>
        </w:rPr>
        <w:t xml:space="preserve">are in high </w:t>
      </w:r>
      <w:r w:rsidR="00F63595" w:rsidRPr="001855D1">
        <w:rPr>
          <w:lang w:val="en-GB"/>
        </w:rPr>
        <w:t>demand.</w:t>
      </w:r>
      <w:r w:rsidR="00F63595" w:rsidRPr="001855D1">
        <w:rPr>
          <w:vertAlign w:val="superscript"/>
          <w:lang w:val="en-GB"/>
        </w:rPr>
        <w:t xml:space="preserve"> [</w:t>
      </w:r>
      <w:r w:rsidRPr="001855D1">
        <w:rPr>
          <w:vertAlign w:val="superscript"/>
          <w:lang w:val="en-GB"/>
        </w:rPr>
        <w:t>2,3]</w:t>
      </w:r>
    </w:p>
    <w:p w14:paraId="36EAEFB1" w14:textId="77777777" w:rsidR="00912E2E" w:rsidRPr="001855D1" w:rsidRDefault="00912E2E" w:rsidP="00912E2E">
      <w:pPr>
        <w:pStyle w:val="Default"/>
        <w:jc w:val="both"/>
        <w:rPr>
          <w:lang w:val="en-GB"/>
        </w:rPr>
      </w:pPr>
    </w:p>
    <w:p w14:paraId="69E1607A" w14:textId="67E12899" w:rsidR="00B44354" w:rsidRPr="001855D1" w:rsidRDefault="00912E2E" w:rsidP="00912E2E">
      <w:pPr>
        <w:pStyle w:val="Default"/>
        <w:jc w:val="both"/>
        <w:rPr>
          <w:lang w:val="en-GB"/>
        </w:rPr>
      </w:pPr>
      <w:r w:rsidRPr="001855D1">
        <w:rPr>
          <w:lang w:val="en-GB"/>
        </w:rPr>
        <w:t xml:space="preserve">Recently, Sb(V) oxides have </w:t>
      </w:r>
      <w:r w:rsidR="005212F3" w:rsidRPr="001855D1">
        <w:rPr>
          <w:lang w:val="en-GB"/>
        </w:rPr>
        <w:t xml:space="preserve">emerged </w:t>
      </w:r>
      <w:r w:rsidR="00E25769" w:rsidRPr="001855D1">
        <w:rPr>
          <w:lang w:val="en-GB"/>
        </w:rPr>
        <w:t>as promising candidates</w:t>
      </w:r>
      <w:r w:rsidRPr="001855D1">
        <w:rPr>
          <w:lang w:val="en-GB"/>
        </w:rPr>
        <w:t>.</w:t>
      </w:r>
      <w:r w:rsidR="00E4232C" w:rsidRPr="001855D1">
        <w:rPr>
          <w:vertAlign w:val="superscript"/>
          <w:lang w:val="en-GB"/>
        </w:rPr>
        <w:t xml:space="preserve"> [4,5]</w:t>
      </w:r>
      <w:r w:rsidRPr="001855D1">
        <w:rPr>
          <w:lang w:val="en-GB"/>
        </w:rPr>
        <w:t xml:space="preserve"> Sb(V) possesses </w:t>
      </w:r>
      <w:r w:rsidR="00147A3E" w:rsidRPr="001855D1">
        <w:rPr>
          <w:lang w:val="en-GB"/>
        </w:rPr>
        <w:t>the (</w:t>
      </w:r>
      <w:r w:rsidRPr="001855D1">
        <w:rPr>
          <w:i/>
          <w:iCs/>
          <w:lang w:val="en-GB"/>
        </w:rPr>
        <w:t>n</w:t>
      </w:r>
      <w:r w:rsidRPr="001855D1">
        <w:rPr>
          <w:lang w:val="en-GB"/>
        </w:rPr>
        <w:t xml:space="preserve"> − 1)</w:t>
      </w:r>
      <w:r w:rsidRPr="001855D1">
        <w:rPr>
          <w:i/>
          <w:iCs/>
          <w:lang w:val="en-GB"/>
        </w:rPr>
        <w:t>d</w:t>
      </w:r>
      <w:r w:rsidRPr="001855D1">
        <w:rPr>
          <w:vertAlign w:val="superscript"/>
          <w:lang w:val="en-GB"/>
        </w:rPr>
        <w:t>10</w:t>
      </w:r>
      <w:r w:rsidRPr="001855D1">
        <w:rPr>
          <w:i/>
          <w:iCs/>
          <w:lang w:val="en-GB"/>
        </w:rPr>
        <w:t>ns</w:t>
      </w:r>
      <w:r w:rsidRPr="001855D1">
        <w:rPr>
          <w:vertAlign w:val="superscript"/>
          <w:lang w:val="en-GB"/>
        </w:rPr>
        <w:t>0</w:t>
      </w:r>
      <w:r w:rsidRPr="001855D1">
        <w:rPr>
          <w:lang w:val="en-GB"/>
        </w:rPr>
        <w:t xml:space="preserve"> </w:t>
      </w:r>
      <w:r w:rsidRPr="001855D1">
        <w:rPr>
          <w:i/>
          <w:iCs/>
          <w:lang w:val="en-GB"/>
        </w:rPr>
        <w:t>np</w:t>
      </w:r>
      <w:r w:rsidRPr="001855D1">
        <w:rPr>
          <w:vertAlign w:val="superscript"/>
          <w:lang w:val="en-GB"/>
        </w:rPr>
        <w:t xml:space="preserve">0 </w:t>
      </w:r>
      <w:r w:rsidRPr="001855D1">
        <w:rPr>
          <w:lang w:val="en-GB"/>
        </w:rPr>
        <w:t>electron configuration</w:t>
      </w:r>
      <w:r w:rsidR="00B42FFA" w:rsidRPr="001855D1">
        <w:rPr>
          <w:lang w:val="en-GB"/>
        </w:rPr>
        <w:t xml:space="preserve"> common to many TCO cations, including</w:t>
      </w:r>
      <w:r w:rsidR="003D4CEA" w:rsidRPr="001855D1">
        <w:rPr>
          <w:lang w:val="en-GB"/>
        </w:rPr>
        <w:t xml:space="preserve"> </w:t>
      </w:r>
      <w:proofErr w:type="gramStart"/>
      <w:r w:rsidR="00AD5AF5" w:rsidRPr="001855D1">
        <w:rPr>
          <w:lang w:val="en-GB"/>
        </w:rPr>
        <w:t>In</w:t>
      </w:r>
      <w:proofErr w:type="gramEnd"/>
      <w:r w:rsidR="00AD5AF5" w:rsidRPr="001855D1">
        <w:rPr>
          <w:lang w:val="en-GB"/>
        </w:rPr>
        <w:t>(III) in In2O3</w:t>
      </w:r>
      <w:r w:rsidRPr="001855D1">
        <w:rPr>
          <w:lang w:val="en-GB"/>
        </w:rPr>
        <w:t xml:space="preserve">, </w:t>
      </w:r>
      <w:r w:rsidR="00A03E14" w:rsidRPr="001855D1">
        <w:rPr>
          <w:lang w:val="en-GB"/>
        </w:rPr>
        <w:t>leading to a</w:t>
      </w:r>
      <w:r w:rsidRPr="001855D1">
        <w:rPr>
          <w:lang w:val="en-GB"/>
        </w:rPr>
        <w:t xml:space="preserve"> highly disperse conduction band and a large band gap.</w:t>
      </w:r>
      <w:r w:rsidR="00E51FD2" w:rsidRPr="001855D1">
        <w:rPr>
          <w:vertAlign w:val="superscript"/>
          <w:lang w:val="en-GB"/>
        </w:rPr>
        <w:t>[5]</w:t>
      </w:r>
      <w:r w:rsidRPr="001855D1">
        <w:rPr>
          <w:lang w:val="en-GB"/>
        </w:rPr>
        <w:t xml:space="preserve"> The</w:t>
      </w:r>
      <w:r w:rsidR="003B2D72" w:rsidRPr="001855D1">
        <w:rPr>
          <w:lang w:val="en-GB"/>
        </w:rPr>
        <w:t xml:space="preserve"> Sb(V) oxides </w:t>
      </w:r>
      <w:r w:rsidR="00B42FFA" w:rsidRPr="001855D1">
        <w:rPr>
          <w:lang w:val="en-GB"/>
        </w:rPr>
        <w:t xml:space="preserve">also </w:t>
      </w:r>
      <w:r w:rsidRPr="001855D1">
        <w:rPr>
          <w:lang w:val="en-GB"/>
        </w:rPr>
        <w:t xml:space="preserve">display </w:t>
      </w:r>
      <w:r w:rsidR="0023751A" w:rsidRPr="001855D1">
        <w:rPr>
          <w:lang w:val="en-GB"/>
        </w:rPr>
        <w:t>three-dimensional</w:t>
      </w:r>
      <w:r w:rsidRPr="001855D1">
        <w:rPr>
          <w:lang w:val="en-GB"/>
        </w:rPr>
        <w:t xml:space="preserve"> connectivity of SbO</w:t>
      </w:r>
      <w:r w:rsidR="00F9151A" w:rsidRPr="001855D1">
        <w:rPr>
          <w:vertAlign w:val="subscript"/>
          <w:lang w:val="en-GB"/>
        </w:rPr>
        <w:t>6</w:t>
      </w:r>
      <w:r w:rsidRPr="001855D1">
        <w:rPr>
          <w:lang w:val="en-GB"/>
        </w:rPr>
        <w:t xml:space="preserve"> octahedra, </w:t>
      </w:r>
      <w:r w:rsidR="005444E0" w:rsidRPr="001855D1">
        <w:rPr>
          <w:lang w:val="en-GB"/>
        </w:rPr>
        <w:t xml:space="preserve">creating electron pathways </w:t>
      </w:r>
      <w:r w:rsidR="003A5E3A" w:rsidRPr="001855D1">
        <w:rPr>
          <w:lang w:val="en-GB"/>
        </w:rPr>
        <w:t>that</w:t>
      </w:r>
      <w:r w:rsidR="005444E0" w:rsidRPr="001855D1">
        <w:rPr>
          <w:lang w:val="en-GB"/>
        </w:rPr>
        <w:t xml:space="preserve"> </w:t>
      </w:r>
      <w:r w:rsidRPr="001855D1">
        <w:rPr>
          <w:lang w:val="en-GB"/>
        </w:rPr>
        <w:t>enabl</w:t>
      </w:r>
      <w:r w:rsidR="005444E0" w:rsidRPr="001855D1">
        <w:rPr>
          <w:lang w:val="en-GB"/>
        </w:rPr>
        <w:t xml:space="preserve">e </w:t>
      </w:r>
      <w:r w:rsidRPr="001855D1">
        <w:rPr>
          <w:lang w:val="en-GB"/>
        </w:rPr>
        <w:t>high conductivity</w:t>
      </w:r>
      <w:r w:rsidR="006B0BF4" w:rsidRPr="001855D1">
        <w:rPr>
          <w:lang w:val="en-GB"/>
        </w:rPr>
        <w:t xml:space="preserve">. </w:t>
      </w:r>
      <w:r w:rsidR="001238DE" w:rsidRPr="001855D1">
        <w:rPr>
          <w:lang w:val="en-GB"/>
        </w:rPr>
        <w:t>ZnSb</w:t>
      </w:r>
      <w:r w:rsidR="001238DE" w:rsidRPr="001855D1">
        <w:rPr>
          <w:vertAlign w:val="subscript"/>
          <w:lang w:val="en-GB"/>
        </w:rPr>
        <w:t>2</w:t>
      </w:r>
      <w:r w:rsidR="001238DE" w:rsidRPr="001855D1">
        <w:rPr>
          <w:lang w:val="en-GB"/>
        </w:rPr>
        <w:t>O</w:t>
      </w:r>
      <w:r w:rsidR="001238DE" w:rsidRPr="001855D1">
        <w:rPr>
          <w:vertAlign w:val="subscript"/>
          <w:lang w:val="en-GB"/>
        </w:rPr>
        <w:t>6</w:t>
      </w:r>
      <w:r w:rsidR="006B0BF4" w:rsidRPr="001855D1">
        <w:rPr>
          <w:vertAlign w:val="superscript"/>
          <w:lang w:val="en-GB"/>
        </w:rPr>
        <w:t xml:space="preserve"> [</w:t>
      </w:r>
      <w:r w:rsidR="006F3973" w:rsidRPr="001855D1">
        <w:rPr>
          <w:vertAlign w:val="superscript"/>
          <w:lang w:val="en-GB"/>
        </w:rPr>
        <w:t>4]</w:t>
      </w:r>
      <w:r w:rsidR="001238DE" w:rsidRPr="001855D1">
        <w:rPr>
          <w:lang w:val="en-GB"/>
        </w:rPr>
        <w:t xml:space="preserve"> </w:t>
      </w:r>
      <w:r w:rsidR="00147A3E" w:rsidRPr="001855D1">
        <w:rPr>
          <w:lang w:val="en-GB"/>
        </w:rPr>
        <w:t xml:space="preserve">was computationally predicted </w:t>
      </w:r>
      <w:r w:rsidR="001238DE" w:rsidRPr="001855D1">
        <w:rPr>
          <w:lang w:val="en-GB"/>
        </w:rPr>
        <w:t>and</w:t>
      </w:r>
      <w:r w:rsidR="00147A3E" w:rsidRPr="001855D1">
        <w:rPr>
          <w:lang w:val="en-GB"/>
        </w:rPr>
        <w:t xml:space="preserve"> experimentally reali</w:t>
      </w:r>
      <w:r w:rsidR="00943AC8" w:rsidRPr="001855D1">
        <w:rPr>
          <w:lang w:val="en-GB"/>
        </w:rPr>
        <w:t>sed as</w:t>
      </w:r>
      <w:r w:rsidR="00E32B01">
        <w:rPr>
          <w:lang w:val="en-GB"/>
        </w:rPr>
        <w:t xml:space="preserve"> a TCO, and </w:t>
      </w:r>
      <w:r w:rsidR="00362C5C" w:rsidRPr="001855D1">
        <w:rPr>
          <w:lang w:val="en-GB"/>
        </w:rPr>
        <w:t>Sb</w:t>
      </w:r>
      <w:r w:rsidR="00362C5C" w:rsidRPr="001855D1">
        <w:rPr>
          <w:vertAlign w:val="subscript"/>
          <w:lang w:val="en-GB"/>
        </w:rPr>
        <w:t>2</w:t>
      </w:r>
      <w:r w:rsidR="00362C5C" w:rsidRPr="001855D1">
        <w:rPr>
          <w:lang w:val="en-GB"/>
        </w:rPr>
        <w:t>O</w:t>
      </w:r>
      <w:r w:rsidR="00362C5C" w:rsidRPr="001855D1">
        <w:rPr>
          <w:vertAlign w:val="subscript"/>
          <w:lang w:val="en-GB"/>
        </w:rPr>
        <w:t>5</w:t>
      </w:r>
      <w:r w:rsidR="00362C5C" w:rsidRPr="001855D1">
        <w:rPr>
          <w:lang w:val="en-GB"/>
        </w:rPr>
        <w:t xml:space="preserve"> </w:t>
      </w:r>
      <w:r w:rsidR="006F3973" w:rsidRPr="001855D1">
        <w:rPr>
          <w:vertAlign w:val="superscript"/>
          <w:lang w:val="en-GB"/>
        </w:rPr>
        <w:t>[5]</w:t>
      </w:r>
      <w:r w:rsidR="006F3973" w:rsidRPr="001855D1">
        <w:rPr>
          <w:lang w:val="en-GB"/>
        </w:rPr>
        <w:t xml:space="preserve"> </w:t>
      </w:r>
      <w:r w:rsidR="00E32B01">
        <w:rPr>
          <w:lang w:val="en-GB"/>
        </w:rPr>
        <w:t>is</w:t>
      </w:r>
      <w:r w:rsidR="00362C5C" w:rsidRPr="001855D1">
        <w:rPr>
          <w:lang w:val="en-GB"/>
        </w:rPr>
        <w:t xml:space="preserve"> predicted to be suitable </w:t>
      </w:r>
      <w:r w:rsidR="00271191" w:rsidRPr="001855D1">
        <w:rPr>
          <w:lang w:val="en-GB"/>
        </w:rPr>
        <w:t xml:space="preserve">as </w:t>
      </w:r>
      <w:r w:rsidR="00E32B01">
        <w:rPr>
          <w:lang w:val="en-GB"/>
        </w:rPr>
        <w:t>well</w:t>
      </w:r>
      <w:r w:rsidR="00271191" w:rsidRPr="001855D1">
        <w:rPr>
          <w:lang w:val="en-GB"/>
        </w:rPr>
        <w:t xml:space="preserve">, </w:t>
      </w:r>
      <w:r w:rsidR="006B0BF4" w:rsidRPr="001855D1">
        <w:rPr>
          <w:lang w:val="en-GB"/>
        </w:rPr>
        <w:t>motivating further exploration of this family of materials.</w:t>
      </w:r>
    </w:p>
    <w:p w14:paraId="7FA09735" w14:textId="77777777" w:rsidR="00912E2E" w:rsidRPr="001855D1" w:rsidRDefault="00912E2E" w:rsidP="00912E2E">
      <w:pPr>
        <w:pStyle w:val="Default"/>
        <w:jc w:val="both"/>
        <w:rPr>
          <w:lang w:val="en-GB"/>
        </w:rPr>
      </w:pPr>
    </w:p>
    <w:p w14:paraId="21B2DDF4" w14:textId="2945A606" w:rsidR="00642904" w:rsidRPr="001855D1" w:rsidRDefault="00912E2E" w:rsidP="00912E2E">
      <w:pPr>
        <w:pStyle w:val="Default"/>
        <w:jc w:val="both"/>
        <w:rPr>
          <w:lang w:val="en-GB"/>
        </w:rPr>
      </w:pPr>
      <w:r w:rsidRPr="001855D1">
        <w:rPr>
          <w:lang w:val="en-GB"/>
        </w:rPr>
        <w:t>Cd</w:t>
      </w:r>
      <w:r w:rsidRPr="001855D1">
        <w:rPr>
          <w:vertAlign w:val="subscript"/>
          <w:lang w:val="en-GB"/>
        </w:rPr>
        <w:t>2</w:t>
      </w:r>
      <w:r w:rsidRPr="001855D1">
        <w:rPr>
          <w:lang w:val="en-GB"/>
        </w:rPr>
        <w:t>Sb</w:t>
      </w:r>
      <w:r w:rsidRPr="001855D1">
        <w:rPr>
          <w:vertAlign w:val="subscript"/>
          <w:lang w:val="en-GB"/>
        </w:rPr>
        <w:t>2</w:t>
      </w:r>
      <w:r w:rsidRPr="001855D1">
        <w:rPr>
          <w:lang w:val="en-GB"/>
        </w:rPr>
        <w:t>O</w:t>
      </w:r>
      <w:r w:rsidRPr="001855D1">
        <w:rPr>
          <w:vertAlign w:val="subscript"/>
          <w:lang w:val="en-GB"/>
        </w:rPr>
        <w:t>7</w:t>
      </w:r>
      <w:r w:rsidRPr="001855D1">
        <w:rPr>
          <w:lang w:val="en-GB"/>
        </w:rPr>
        <w:t xml:space="preserve"> </w:t>
      </w:r>
      <w:r w:rsidR="00EC4FBD" w:rsidRPr="001855D1">
        <w:rPr>
          <w:lang w:val="en-GB"/>
        </w:rPr>
        <w:t xml:space="preserve">contains Sb(V) and was flagged in a high-throughput study as having a </w:t>
      </w:r>
      <w:r w:rsidR="00CA1C83" w:rsidRPr="001855D1">
        <w:rPr>
          <w:lang w:val="en-GB"/>
        </w:rPr>
        <w:t xml:space="preserve">relatively large band gap and low electron effective mass, suggesting possible transparency and conductivity. </w:t>
      </w:r>
      <w:r w:rsidR="00EA0237" w:rsidRPr="001855D1">
        <w:rPr>
          <w:vertAlign w:val="superscript"/>
          <w:lang w:val="en-GB"/>
        </w:rPr>
        <w:t>[6]</w:t>
      </w:r>
      <w:r w:rsidR="00EA0237" w:rsidRPr="001855D1">
        <w:rPr>
          <w:lang w:val="en-GB"/>
        </w:rPr>
        <w:t xml:space="preserve"> </w:t>
      </w:r>
      <w:r w:rsidR="00B02CA9" w:rsidRPr="001855D1">
        <w:rPr>
          <w:lang w:val="en-GB"/>
        </w:rPr>
        <w:t xml:space="preserve">However, there has been no investigation into the </w:t>
      </w:r>
      <w:r w:rsidR="00E75ECE" w:rsidRPr="001855D1">
        <w:rPr>
          <w:lang w:val="en-GB"/>
        </w:rPr>
        <w:t xml:space="preserve">material’s </w:t>
      </w:r>
      <w:r w:rsidR="00B02CA9" w:rsidRPr="001855D1">
        <w:rPr>
          <w:lang w:val="en-GB"/>
        </w:rPr>
        <w:t>defect chemistry</w:t>
      </w:r>
      <w:r w:rsidR="00E75ECE" w:rsidRPr="001855D1">
        <w:rPr>
          <w:lang w:val="en-GB"/>
        </w:rPr>
        <w:t xml:space="preserve">. </w:t>
      </w:r>
      <w:r w:rsidR="00EA0237" w:rsidRPr="001855D1">
        <w:rPr>
          <w:lang w:val="en-GB"/>
        </w:rPr>
        <w:t xml:space="preserve">For these reasons it was decided to investigate </w:t>
      </w:r>
      <w:r w:rsidR="00E75ECE" w:rsidRPr="001855D1">
        <w:rPr>
          <w:lang w:val="en-GB"/>
        </w:rPr>
        <w:t>Cd</w:t>
      </w:r>
      <w:r w:rsidR="00E75ECE" w:rsidRPr="001855D1">
        <w:rPr>
          <w:vertAlign w:val="subscript"/>
          <w:lang w:val="en-GB"/>
        </w:rPr>
        <w:t>2</w:t>
      </w:r>
      <w:r w:rsidR="00E75ECE" w:rsidRPr="001855D1">
        <w:rPr>
          <w:lang w:val="en-GB"/>
        </w:rPr>
        <w:t>Sb</w:t>
      </w:r>
      <w:r w:rsidR="00E75ECE" w:rsidRPr="001855D1">
        <w:rPr>
          <w:vertAlign w:val="subscript"/>
          <w:lang w:val="en-GB"/>
        </w:rPr>
        <w:t>2</w:t>
      </w:r>
      <w:r w:rsidR="00E75ECE" w:rsidRPr="001855D1">
        <w:rPr>
          <w:lang w:val="en-GB"/>
        </w:rPr>
        <w:t>O</w:t>
      </w:r>
      <w:r w:rsidR="00E75ECE" w:rsidRPr="001855D1">
        <w:rPr>
          <w:vertAlign w:val="subscript"/>
          <w:lang w:val="en-GB"/>
        </w:rPr>
        <w:t xml:space="preserve">7 </w:t>
      </w:r>
      <w:r w:rsidR="00D01118" w:rsidRPr="001855D1">
        <w:rPr>
          <w:lang w:val="en-GB"/>
        </w:rPr>
        <w:t xml:space="preserve">more thoroughly. </w:t>
      </w:r>
      <w:r w:rsidRPr="001855D1">
        <w:rPr>
          <w:lang w:val="en-GB"/>
        </w:rPr>
        <w:t>The optoelectronic</w:t>
      </w:r>
      <w:r w:rsidR="00E14AD9" w:rsidRPr="001855D1">
        <w:rPr>
          <w:lang w:val="en-GB"/>
        </w:rPr>
        <w:t xml:space="preserve"> and</w:t>
      </w:r>
      <w:r w:rsidRPr="001855D1">
        <w:rPr>
          <w:lang w:val="en-GB"/>
        </w:rPr>
        <w:t xml:space="preserve"> structural properties</w:t>
      </w:r>
      <w:r w:rsidR="00E14AD9" w:rsidRPr="001855D1">
        <w:rPr>
          <w:lang w:val="en-GB"/>
        </w:rPr>
        <w:t xml:space="preserve"> of Cd</w:t>
      </w:r>
      <w:r w:rsidR="00E14AD9" w:rsidRPr="001855D1">
        <w:rPr>
          <w:vertAlign w:val="subscript"/>
          <w:lang w:val="en-GB"/>
        </w:rPr>
        <w:t>2</w:t>
      </w:r>
      <w:r w:rsidR="00E14AD9" w:rsidRPr="001855D1">
        <w:rPr>
          <w:lang w:val="en-GB"/>
        </w:rPr>
        <w:t>Sb</w:t>
      </w:r>
      <w:r w:rsidR="00E14AD9" w:rsidRPr="001855D1">
        <w:rPr>
          <w:vertAlign w:val="subscript"/>
          <w:lang w:val="en-GB"/>
        </w:rPr>
        <w:t>2</w:t>
      </w:r>
      <w:r w:rsidR="00E14AD9" w:rsidRPr="001855D1">
        <w:rPr>
          <w:lang w:val="en-GB"/>
        </w:rPr>
        <w:t>O</w:t>
      </w:r>
      <w:r w:rsidR="00E14AD9" w:rsidRPr="001855D1">
        <w:rPr>
          <w:vertAlign w:val="subscript"/>
          <w:lang w:val="en-GB"/>
        </w:rPr>
        <w:t>7</w:t>
      </w:r>
      <w:r w:rsidRPr="001855D1">
        <w:rPr>
          <w:lang w:val="en-GB"/>
        </w:rPr>
        <w:t xml:space="preserve"> were calculated using </w:t>
      </w:r>
      <w:r w:rsidR="00E14AD9" w:rsidRPr="001855D1">
        <w:rPr>
          <w:lang w:val="en-GB"/>
        </w:rPr>
        <w:t>the hybrid PBE0 functional along with its intrinsic and dopant defect</w:t>
      </w:r>
      <w:r w:rsidR="003339D0" w:rsidRPr="001855D1">
        <w:rPr>
          <w:lang w:val="en-GB"/>
        </w:rPr>
        <w:t xml:space="preserve"> </w:t>
      </w:r>
      <w:r w:rsidR="00E14AD9" w:rsidRPr="001855D1">
        <w:rPr>
          <w:lang w:val="en-GB"/>
        </w:rPr>
        <w:t>chemistry. I</w:t>
      </w:r>
      <w:r w:rsidRPr="001855D1">
        <w:rPr>
          <w:lang w:val="en-GB"/>
        </w:rPr>
        <w:t xml:space="preserve">ts charge transport </w:t>
      </w:r>
      <w:r w:rsidR="002F6D8F" w:rsidRPr="001855D1">
        <w:rPr>
          <w:lang w:val="en-GB"/>
        </w:rPr>
        <w:t xml:space="preserve">was </w:t>
      </w:r>
      <w:r w:rsidRPr="001855D1">
        <w:rPr>
          <w:lang w:val="en-GB"/>
        </w:rPr>
        <w:t>calculated using a combination of ab initio and semi-empirical DFT based methods</w:t>
      </w:r>
      <w:r w:rsidR="00E14AD9" w:rsidRPr="001855D1">
        <w:rPr>
          <w:lang w:val="en-GB"/>
        </w:rPr>
        <w:t>.</w:t>
      </w:r>
    </w:p>
    <w:p w14:paraId="32B5BD6A" w14:textId="77777777" w:rsidR="00642904" w:rsidRPr="001855D1" w:rsidRDefault="00642904" w:rsidP="00912E2E">
      <w:pPr>
        <w:pStyle w:val="Default"/>
        <w:jc w:val="both"/>
        <w:rPr>
          <w:lang w:val="en-GB"/>
        </w:rPr>
      </w:pPr>
    </w:p>
    <w:p w14:paraId="375F6713" w14:textId="3FDCCFC4" w:rsidR="00F806BE" w:rsidRPr="001855D1" w:rsidRDefault="002B002E" w:rsidP="00912E2E">
      <w:pPr>
        <w:pStyle w:val="Default"/>
        <w:jc w:val="both"/>
        <w:rPr>
          <w:vertAlign w:val="superscript"/>
          <w:lang w:val="en-GB"/>
        </w:rPr>
      </w:pPr>
      <w:r w:rsidRPr="001855D1">
        <w:rPr>
          <w:lang w:val="en-GB"/>
        </w:rPr>
        <w:t>Our r</w:t>
      </w:r>
      <w:r w:rsidR="006C2A8B" w:rsidRPr="001855D1">
        <w:rPr>
          <w:lang w:val="en-GB"/>
        </w:rPr>
        <w:t>esults</w:t>
      </w:r>
      <w:r w:rsidR="00912E2E" w:rsidRPr="001855D1">
        <w:rPr>
          <w:lang w:val="en-GB"/>
        </w:rPr>
        <w:t xml:space="preserve"> suggest </w:t>
      </w:r>
      <w:r w:rsidR="00197B7C" w:rsidRPr="001855D1">
        <w:rPr>
          <w:lang w:val="en-GB"/>
        </w:rPr>
        <w:t xml:space="preserve">an optical band gap </w:t>
      </w:r>
      <w:r w:rsidR="005C6289" w:rsidRPr="001855D1">
        <w:rPr>
          <w:lang w:val="en-GB"/>
        </w:rPr>
        <w:t>in the transparent range</w:t>
      </w:r>
      <w:r w:rsidR="001230A4" w:rsidRPr="001855D1">
        <w:rPr>
          <w:lang w:val="en-GB"/>
        </w:rPr>
        <w:t>, a</w:t>
      </w:r>
      <w:r w:rsidR="00B170CF" w:rsidRPr="001855D1">
        <w:rPr>
          <w:lang w:val="en-GB"/>
        </w:rPr>
        <w:t xml:space="preserve"> high intrinsic</w:t>
      </w:r>
      <w:r w:rsidR="00133927" w:rsidRPr="001855D1">
        <w:rPr>
          <w:lang w:val="en-GB"/>
        </w:rPr>
        <w:t xml:space="preserve"> </w:t>
      </w:r>
      <w:r w:rsidR="00392BDC" w:rsidRPr="001855D1">
        <w:rPr>
          <w:lang w:val="en-GB"/>
        </w:rPr>
        <w:t xml:space="preserve">electron </w:t>
      </w:r>
      <w:r w:rsidR="00B170CF" w:rsidRPr="001855D1">
        <w:rPr>
          <w:lang w:val="en-GB"/>
        </w:rPr>
        <w:t>carrier concentration</w:t>
      </w:r>
      <w:r w:rsidR="006C2A8B" w:rsidRPr="001855D1">
        <w:rPr>
          <w:lang w:val="en-GB"/>
        </w:rPr>
        <w:t xml:space="preserve"> </w:t>
      </w:r>
      <w:r w:rsidR="00B170CF" w:rsidRPr="001855D1">
        <w:rPr>
          <w:lang w:val="en-GB"/>
        </w:rPr>
        <w:t xml:space="preserve">due to </w:t>
      </w:r>
      <w:r w:rsidR="001230A4" w:rsidRPr="001855D1">
        <w:rPr>
          <w:lang w:val="en-GB"/>
        </w:rPr>
        <w:t xml:space="preserve">antisite defects, </w:t>
      </w:r>
      <w:r w:rsidR="006C2A8B" w:rsidRPr="001855D1">
        <w:rPr>
          <w:lang w:val="en-GB"/>
        </w:rPr>
        <w:t>giving</w:t>
      </w:r>
      <w:r w:rsidR="001230A4" w:rsidRPr="001855D1">
        <w:rPr>
          <w:lang w:val="en-GB"/>
        </w:rPr>
        <w:t xml:space="preserve"> </w:t>
      </w:r>
      <w:r w:rsidR="00502FBB" w:rsidRPr="001855D1">
        <w:rPr>
          <w:lang w:val="en-GB"/>
        </w:rPr>
        <w:t>high</w:t>
      </w:r>
      <w:r w:rsidR="006C2A8B" w:rsidRPr="001855D1">
        <w:rPr>
          <w:lang w:val="en-GB"/>
        </w:rPr>
        <w:t xml:space="preserve"> intrinsic</w:t>
      </w:r>
      <w:r w:rsidR="00392BDC" w:rsidRPr="001855D1">
        <w:rPr>
          <w:lang w:val="en-GB"/>
        </w:rPr>
        <w:t xml:space="preserve"> mobility</w:t>
      </w:r>
      <w:r w:rsidR="002F6D8F" w:rsidRPr="001855D1">
        <w:rPr>
          <w:lang w:val="en-GB"/>
        </w:rPr>
        <w:t xml:space="preserve"> and</w:t>
      </w:r>
      <w:r w:rsidR="00133927" w:rsidRPr="001855D1">
        <w:rPr>
          <w:lang w:val="en-GB"/>
        </w:rPr>
        <w:t xml:space="preserve"> </w:t>
      </w:r>
      <w:r w:rsidR="00DC1980" w:rsidRPr="001855D1">
        <w:rPr>
          <w:lang w:val="en-GB"/>
        </w:rPr>
        <w:t>conductivity, and</w:t>
      </w:r>
      <w:r w:rsidR="001230A4" w:rsidRPr="001855D1">
        <w:rPr>
          <w:lang w:val="en-GB"/>
        </w:rPr>
        <w:t xml:space="preserve"> </w:t>
      </w:r>
      <w:r w:rsidR="00DC1980" w:rsidRPr="001855D1">
        <w:rPr>
          <w:lang w:val="en-GB"/>
        </w:rPr>
        <w:t xml:space="preserve">a </w:t>
      </w:r>
      <w:r w:rsidR="008D02C5" w:rsidRPr="001855D1">
        <w:rPr>
          <w:lang w:val="en-GB"/>
        </w:rPr>
        <w:t xml:space="preserve">large </w:t>
      </w:r>
      <w:r w:rsidR="00DC1980" w:rsidRPr="001855D1">
        <w:rPr>
          <w:lang w:val="en-GB"/>
        </w:rPr>
        <w:t>doping window</w:t>
      </w:r>
      <w:r w:rsidR="00B44354" w:rsidRPr="001855D1">
        <w:rPr>
          <w:lang w:val="en-GB"/>
        </w:rPr>
        <w:t>,</w:t>
      </w:r>
      <w:r w:rsidR="000F5917" w:rsidRPr="001855D1">
        <w:rPr>
          <w:lang w:val="en-GB"/>
        </w:rPr>
        <w:t xml:space="preserve"> </w:t>
      </w:r>
      <w:r w:rsidR="00965744" w:rsidRPr="001855D1">
        <w:rPr>
          <w:lang w:val="en-GB"/>
        </w:rPr>
        <w:t>enabling n-type doping to further enhance conductivity.</w:t>
      </w:r>
      <w:r w:rsidR="007327F6" w:rsidRPr="001855D1">
        <w:rPr>
          <w:lang w:val="en-GB"/>
        </w:rPr>
        <w:t xml:space="preserve"> This provides further evidence for the potential of Sb(V) oxides as</w:t>
      </w:r>
      <w:r w:rsidR="00031A4D" w:rsidRPr="001855D1">
        <w:rPr>
          <w:lang w:val="en-GB"/>
        </w:rPr>
        <w:t xml:space="preserve"> TCOs</w:t>
      </w:r>
      <w:r w:rsidR="00965744" w:rsidRPr="001855D1">
        <w:rPr>
          <w:lang w:val="en-GB"/>
        </w:rPr>
        <w:t>.</w:t>
      </w:r>
    </w:p>
    <w:p w14:paraId="34208914" w14:textId="77777777" w:rsidR="00912E2E" w:rsidRPr="001855D1" w:rsidRDefault="00912E2E" w:rsidP="001577FD">
      <w:pPr>
        <w:pStyle w:val="Default"/>
        <w:jc w:val="both"/>
        <w:rPr>
          <w:lang w:val="en-GB"/>
        </w:rPr>
      </w:pPr>
    </w:p>
    <w:p w14:paraId="26806B30" w14:textId="21876E60" w:rsidR="00381B80" w:rsidRPr="001855D1" w:rsidRDefault="001577FD" w:rsidP="001577FD">
      <w:pPr>
        <w:pStyle w:val="Default"/>
        <w:jc w:val="both"/>
        <w:rPr>
          <w:lang w:val="en-GB"/>
        </w:rPr>
      </w:pPr>
      <w:r w:rsidRPr="001855D1">
        <w:rPr>
          <w:lang w:val="en-GB"/>
        </w:rPr>
        <w:t xml:space="preserve">[1] Lewis, B. G.; Paine, D. C. </w:t>
      </w:r>
      <w:r w:rsidRPr="001855D1">
        <w:rPr>
          <w:i/>
          <w:iCs/>
          <w:lang w:val="en-GB"/>
        </w:rPr>
        <w:t>MRS Bulletin</w:t>
      </w:r>
      <w:r w:rsidRPr="001855D1">
        <w:rPr>
          <w:lang w:val="en-GB"/>
        </w:rPr>
        <w:t xml:space="preserve"> </w:t>
      </w:r>
      <w:r w:rsidRPr="001855D1">
        <w:rPr>
          <w:b/>
          <w:bCs/>
          <w:lang w:val="en-GB"/>
        </w:rPr>
        <w:t>2000</w:t>
      </w:r>
      <w:r w:rsidRPr="001855D1">
        <w:rPr>
          <w:lang w:val="en-GB"/>
        </w:rPr>
        <w:t xml:space="preserve">, </w:t>
      </w:r>
      <w:r w:rsidRPr="001855D1">
        <w:rPr>
          <w:i/>
          <w:iCs/>
          <w:lang w:val="en-GB"/>
        </w:rPr>
        <w:t>25</w:t>
      </w:r>
      <w:r w:rsidRPr="001855D1">
        <w:rPr>
          <w:lang w:val="en-GB"/>
        </w:rPr>
        <w:t>, 22–27</w:t>
      </w:r>
    </w:p>
    <w:p w14:paraId="07405C11" w14:textId="3760B29A" w:rsidR="00381B80" w:rsidRPr="001855D1" w:rsidRDefault="001577FD" w:rsidP="001577FD">
      <w:pPr>
        <w:pStyle w:val="Default"/>
        <w:jc w:val="both"/>
        <w:rPr>
          <w:lang w:val="en-GB"/>
        </w:rPr>
      </w:pPr>
      <w:r w:rsidRPr="001855D1">
        <w:rPr>
          <w:lang w:val="en-GB"/>
        </w:rPr>
        <w:t xml:space="preserve">[2] Granqvist, C.; </w:t>
      </w:r>
      <w:proofErr w:type="spellStart"/>
      <w:r w:rsidRPr="001855D1">
        <w:rPr>
          <w:lang w:val="en-GB"/>
        </w:rPr>
        <w:t>Hultaker</w:t>
      </w:r>
      <w:proofErr w:type="spellEnd"/>
      <w:r w:rsidRPr="001855D1">
        <w:rPr>
          <w:lang w:val="en-GB"/>
        </w:rPr>
        <w:t xml:space="preserve">, A. </w:t>
      </w:r>
      <w:r w:rsidRPr="001855D1">
        <w:rPr>
          <w:i/>
          <w:iCs/>
          <w:lang w:val="en-GB"/>
        </w:rPr>
        <w:t>Thin</w:t>
      </w:r>
      <w:r w:rsidR="00381B80" w:rsidRPr="001855D1">
        <w:rPr>
          <w:i/>
          <w:iCs/>
          <w:lang w:val="en-GB"/>
        </w:rPr>
        <w:t xml:space="preserve"> </w:t>
      </w:r>
      <w:r w:rsidRPr="001855D1">
        <w:rPr>
          <w:i/>
          <w:iCs/>
          <w:lang w:val="en-GB"/>
        </w:rPr>
        <w:t>Solid Films</w:t>
      </w:r>
      <w:r w:rsidRPr="001855D1">
        <w:rPr>
          <w:lang w:val="en-GB"/>
        </w:rPr>
        <w:t xml:space="preserve"> </w:t>
      </w:r>
      <w:r w:rsidRPr="001855D1">
        <w:rPr>
          <w:b/>
          <w:bCs/>
          <w:lang w:val="en-GB"/>
        </w:rPr>
        <w:t>2002</w:t>
      </w:r>
      <w:r w:rsidRPr="001855D1">
        <w:rPr>
          <w:lang w:val="en-GB"/>
        </w:rPr>
        <w:t xml:space="preserve">, </w:t>
      </w:r>
      <w:r w:rsidRPr="001855D1">
        <w:rPr>
          <w:i/>
          <w:iCs/>
          <w:lang w:val="en-GB"/>
        </w:rPr>
        <w:t>411</w:t>
      </w:r>
      <w:r w:rsidRPr="001855D1">
        <w:rPr>
          <w:lang w:val="en-GB"/>
        </w:rPr>
        <w:t>, 1–5</w:t>
      </w:r>
    </w:p>
    <w:p w14:paraId="1B564108" w14:textId="0E15D1D4" w:rsidR="001577FD" w:rsidRPr="001855D1" w:rsidRDefault="001577FD" w:rsidP="001577FD">
      <w:pPr>
        <w:pStyle w:val="Default"/>
        <w:jc w:val="both"/>
        <w:rPr>
          <w:lang w:val="en-GB"/>
        </w:rPr>
      </w:pPr>
      <w:r w:rsidRPr="001855D1">
        <w:rPr>
          <w:lang w:val="en-GB"/>
        </w:rPr>
        <w:t>[3] Brunin, G.; Ricci, F. et al</w:t>
      </w:r>
      <w:r w:rsidRPr="001855D1">
        <w:rPr>
          <w:i/>
          <w:iCs/>
          <w:lang w:val="en-GB"/>
        </w:rPr>
        <w:t>. npj Computational Materials</w:t>
      </w:r>
      <w:r w:rsidRPr="001855D1">
        <w:rPr>
          <w:lang w:val="en-GB"/>
        </w:rPr>
        <w:t xml:space="preserve"> </w:t>
      </w:r>
      <w:r w:rsidRPr="001855D1">
        <w:rPr>
          <w:b/>
          <w:bCs/>
          <w:lang w:val="en-GB"/>
        </w:rPr>
        <w:t>2019</w:t>
      </w:r>
      <w:r w:rsidRPr="001855D1">
        <w:rPr>
          <w:lang w:val="en-GB"/>
        </w:rPr>
        <w:t xml:space="preserve">, </w:t>
      </w:r>
      <w:r w:rsidRPr="001855D1">
        <w:rPr>
          <w:i/>
          <w:iCs/>
          <w:lang w:val="en-GB"/>
        </w:rPr>
        <w:t>5</w:t>
      </w:r>
    </w:p>
    <w:p w14:paraId="57097F7C" w14:textId="34107D5F" w:rsidR="001577FD" w:rsidRPr="001855D1" w:rsidRDefault="001577FD" w:rsidP="001577FD">
      <w:pPr>
        <w:pStyle w:val="Default"/>
        <w:jc w:val="both"/>
        <w:rPr>
          <w:lang w:val="en-GB"/>
        </w:rPr>
      </w:pPr>
      <w:r w:rsidRPr="001855D1">
        <w:rPr>
          <w:lang w:val="en-GB"/>
        </w:rPr>
        <w:t xml:space="preserve">[4] Jackson, A. J.; Parrett, B. J. et al. </w:t>
      </w:r>
      <w:r w:rsidRPr="001855D1">
        <w:rPr>
          <w:i/>
          <w:iCs/>
          <w:lang w:val="en-GB"/>
        </w:rPr>
        <w:t>ACS Energy Letters</w:t>
      </w:r>
      <w:r w:rsidRPr="001855D1">
        <w:rPr>
          <w:lang w:val="en-GB"/>
        </w:rPr>
        <w:t xml:space="preserve"> </w:t>
      </w:r>
      <w:r w:rsidRPr="001855D1">
        <w:rPr>
          <w:b/>
          <w:bCs/>
          <w:lang w:val="en-GB"/>
        </w:rPr>
        <w:t>2022</w:t>
      </w:r>
      <w:r w:rsidRPr="001855D1">
        <w:rPr>
          <w:lang w:val="en-GB"/>
        </w:rPr>
        <w:t xml:space="preserve">, </w:t>
      </w:r>
      <w:r w:rsidRPr="001855D1">
        <w:rPr>
          <w:i/>
          <w:iCs/>
          <w:lang w:val="en-GB"/>
        </w:rPr>
        <w:t>7</w:t>
      </w:r>
      <w:r w:rsidRPr="001855D1">
        <w:rPr>
          <w:lang w:val="en-GB"/>
        </w:rPr>
        <w:t>, 3807–3816</w:t>
      </w:r>
    </w:p>
    <w:p w14:paraId="226C9F00" w14:textId="49DDAC74" w:rsidR="001577FD" w:rsidRPr="001855D1" w:rsidRDefault="001577FD" w:rsidP="001577FD">
      <w:pPr>
        <w:pStyle w:val="Default"/>
        <w:jc w:val="both"/>
        <w:rPr>
          <w:lang w:val="en-GB"/>
        </w:rPr>
      </w:pPr>
      <w:r w:rsidRPr="001855D1">
        <w:rPr>
          <w:lang w:val="en-GB"/>
        </w:rPr>
        <w:t xml:space="preserve">[5] Li, K.; Willis, J. et al. </w:t>
      </w:r>
      <w:r w:rsidRPr="001855D1">
        <w:rPr>
          <w:i/>
          <w:iCs/>
          <w:lang w:val="en-GB"/>
        </w:rPr>
        <w:t>Chemistry of Materials</w:t>
      </w:r>
      <w:r w:rsidRPr="001855D1">
        <w:rPr>
          <w:lang w:val="en-GB"/>
        </w:rPr>
        <w:t xml:space="preserve"> </w:t>
      </w:r>
      <w:r w:rsidRPr="001855D1">
        <w:rPr>
          <w:b/>
          <w:bCs/>
          <w:lang w:val="en-GB"/>
        </w:rPr>
        <w:t>2024</w:t>
      </w:r>
      <w:r w:rsidRPr="001855D1">
        <w:rPr>
          <w:lang w:val="en-GB"/>
        </w:rPr>
        <w:t xml:space="preserve">, </w:t>
      </w:r>
      <w:r w:rsidRPr="001855D1">
        <w:rPr>
          <w:i/>
          <w:iCs/>
          <w:lang w:val="en-GB"/>
        </w:rPr>
        <w:t>36</w:t>
      </w:r>
      <w:r w:rsidRPr="001855D1">
        <w:rPr>
          <w:lang w:val="en-GB"/>
        </w:rPr>
        <w:t>, 2907–2916</w:t>
      </w:r>
    </w:p>
    <w:p w14:paraId="521EF359" w14:textId="77284825" w:rsidR="00172F51" w:rsidRPr="00CF2DEC" w:rsidRDefault="00B6711A" w:rsidP="00CF2DEC">
      <w:pPr>
        <w:pStyle w:val="Default"/>
        <w:jc w:val="both"/>
        <w:rPr>
          <w:lang w:val="en-US"/>
        </w:rPr>
      </w:pPr>
      <w:r w:rsidRPr="001855D1">
        <w:rPr>
          <w:lang w:val="en-GB"/>
        </w:rPr>
        <w:t xml:space="preserve">[6] </w:t>
      </w:r>
      <w:proofErr w:type="spellStart"/>
      <w:r w:rsidRPr="001855D1">
        <w:rPr>
          <w:lang w:val="en-GB"/>
        </w:rPr>
        <w:t>Hautier</w:t>
      </w:r>
      <w:proofErr w:type="spellEnd"/>
      <w:r w:rsidRPr="001855D1">
        <w:rPr>
          <w:lang w:val="en-GB"/>
        </w:rPr>
        <w:t>, G.</w:t>
      </w:r>
      <w:r w:rsidR="00352DA0" w:rsidRPr="001855D1">
        <w:rPr>
          <w:lang w:val="en-GB"/>
        </w:rPr>
        <w:t>;</w:t>
      </w:r>
      <w:r w:rsidRPr="001855D1">
        <w:rPr>
          <w:lang w:val="en-GB"/>
        </w:rPr>
        <w:t xml:space="preserve"> </w:t>
      </w:r>
      <w:r w:rsidR="00A923EC" w:rsidRPr="001855D1">
        <w:rPr>
          <w:lang w:val="en-GB"/>
        </w:rPr>
        <w:t>Miglio, A.</w:t>
      </w:r>
      <w:r w:rsidR="00352DA0" w:rsidRPr="001855D1">
        <w:rPr>
          <w:lang w:val="en-GB"/>
        </w:rPr>
        <w:t xml:space="preserve">; et al. </w:t>
      </w:r>
      <w:r w:rsidR="00352DA0" w:rsidRPr="001855D1">
        <w:rPr>
          <w:i/>
          <w:iCs/>
          <w:lang w:val="en-GB"/>
        </w:rPr>
        <w:t>Chemistry of Materials</w:t>
      </w:r>
      <w:r w:rsidR="00352DA0" w:rsidRPr="001855D1">
        <w:rPr>
          <w:lang w:val="en-GB"/>
        </w:rPr>
        <w:t xml:space="preserve"> </w:t>
      </w:r>
      <w:r w:rsidR="009C74F9" w:rsidRPr="001855D1">
        <w:rPr>
          <w:b/>
          <w:bCs/>
          <w:lang w:val="en-GB"/>
        </w:rPr>
        <w:t>2014</w:t>
      </w:r>
      <w:r w:rsidR="009C74F9" w:rsidRPr="001855D1">
        <w:rPr>
          <w:lang w:val="en-GB"/>
        </w:rPr>
        <w:t xml:space="preserve">, </w:t>
      </w:r>
      <w:r w:rsidR="00ED3CE7" w:rsidRPr="001855D1">
        <w:rPr>
          <w:i/>
          <w:iCs/>
          <w:lang w:val="en-GB"/>
        </w:rPr>
        <w:t>26</w:t>
      </w:r>
      <w:r w:rsidR="00ED3CE7" w:rsidRPr="001855D1">
        <w:rPr>
          <w:lang w:val="en-GB"/>
        </w:rPr>
        <w:t xml:space="preserve"> (19), 5447-5458</w:t>
      </w:r>
    </w:p>
    <w:sectPr w:rsidR="00172F51" w:rsidRPr="00CF2DEC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31A4D"/>
    <w:rsid w:val="0005299B"/>
    <w:rsid w:val="0006331E"/>
    <w:rsid w:val="0007701F"/>
    <w:rsid w:val="000C24E0"/>
    <w:rsid w:val="000C3AE8"/>
    <w:rsid w:val="000C71EF"/>
    <w:rsid w:val="000F5917"/>
    <w:rsid w:val="001230A4"/>
    <w:rsid w:val="001238DE"/>
    <w:rsid w:val="00133927"/>
    <w:rsid w:val="00147A3E"/>
    <w:rsid w:val="001577FD"/>
    <w:rsid w:val="00172F51"/>
    <w:rsid w:val="001855D1"/>
    <w:rsid w:val="00197B7C"/>
    <w:rsid w:val="0023751A"/>
    <w:rsid w:val="00260197"/>
    <w:rsid w:val="002613C6"/>
    <w:rsid w:val="00271191"/>
    <w:rsid w:val="002A0132"/>
    <w:rsid w:val="002B002E"/>
    <w:rsid w:val="002B1B1E"/>
    <w:rsid w:val="002E00BE"/>
    <w:rsid w:val="002F6D8F"/>
    <w:rsid w:val="0032390C"/>
    <w:rsid w:val="003339D0"/>
    <w:rsid w:val="00352DA0"/>
    <w:rsid w:val="00362C5C"/>
    <w:rsid w:val="00381B80"/>
    <w:rsid w:val="00392BDC"/>
    <w:rsid w:val="003A5E3A"/>
    <w:rsid w:val="003B2D72"/>
    <w:rsid w:val="003C221A"/>
    <w:rsid w:val="003D4CEA"/>
    <w:rsid w:val="003D7D57"/>
    <w:rsid w:val="003E562F"/>
    <w:rsid w:val="004573FD"/>
    <w:rsid w:val="0047107B"/>
    <w:rsid w:val="004B1CAA"/>
    <w:rsid w:val="004B6517"/>
    <w:rsid w:val="004E0655"/>
    <w:rsid w:val="00502FBB"/>
    <w:rsid w:val="005212F3"/>
    <w:rsid w:val="005444E0"/>
    <w:rsid w:val="00574ABC"/>
    <w:rsid w:val="005A1240"/>
    <w:rsid w:val="005C6289"/>
    <w:rsid w:val="005F17E0"/>
    <w:rsid w:val="006176B9"/>
    <w:rsid w:val="00642904"/>
    <w:rsid w:val="00657B13"/>
    <w:rsid w:val="006B0BF4"/>
    <w:rsid w:val="006C2A8B"/>
    <w:rsid w:val="006C7A47"/>
    <w:rsid w:val="006F3973"/>
    <w:rsid w:val="00703D05"/>
    <w:rsid w:val="00720782"/>
    <w:rsid w:val="007327F6"/>
    <w:rsid w:val="007F6DBD"/>
    <w:rsid w:val="008359D0"/>
    <w:rsid w:val="008D02C5"/>
    <w:rsid w:val="008D3252"/>
    <w:rsid w:val="008E26FD"/>
    <w:rsid w:val="00910550"/>
    <w:rsid w:val="00912E2E"/>
    <w:rsid w:val="00924DBE"/>
    <w:rsid w:val="00926886"/>
    <w:rsid w:val="00943AC8"/>
    <w:rsid w:val="00963BC5"/>
    <w:rsid w:val="00965744"/>
    <w:rsid w:val="009A3324"/>
    <w:rsid w:val="009C4D96"/>
    <w:rsid w:val="009C74F9"/>
    <w:rsid w:val="009D186E"/>
    <w:rsid w:val="00A01A36"/>
    <w:rsid w:val="00A03E14"/>
    <w:rsid w:val="00A83599"/>
    <w:rsid w:val="00A923EC"/>
    <w:rsid w:val="00A92959"/>
    <w:rsid w:val="00AC12B9"/>
    <w:rsid w:val="00AD5AF5"/>
    <w:rsid w:val="00B02CA9"/>
    <w:rsid w:val="00B14154"/>
    <w:rsid w:val="00B170CF"/>
    <w:rsid w:val="00B42FFA"/>
    <w:rsid w:val="00B44354"/>
    <w:rsid w:val="00B6711A"/>
    <w:rsid w:val="00B71C6B"/>
    <w:rsid w:val="00B864A9"/>
    <w:rsid w:val="00B94B11"/>
    <w:rsid w:val="00BC3385"/>
    <w:rsid w:val="00C41A8D"/>
    <w:rsid w:val="00C53C24"/>
    <w:rsid w:val="00C67C56"/>
    <w:rsid w:val="00CA1C83"/>
    <w:rsid w:val="00CF2DEC"/>
    <w:rsid w:val="00D01118"/>
    <w:rsid w:val="00D37FAB"/>
    <w:rsid w:val="00D771CE"/>
    <w:rsid w:val="00DA3B54"/>
    <w:rsid w:val="00DA64CB"/>
    <w:rsid w:val="00DB56E0"/>
    <w:rsid w:val="00DC1980"/>
    <w:rsid w:val="00DC42A2"/>
    <w:rsid w:val="00E14AD9"/>
    <w:rsid w:val="00E16B73"/>
    <w:rsid w:val="00E25769"/>
    <w:rsid w:val="00E32B01"/>
    <w:rsid w:val="00E412FD"/>
    <w:rsid w:val="00E4232C"/>
    <w:rsid w:val="00E50186"/>
    <w:rsid w:val="00E51FD2"/>
    <w:rsid w:val="00E75ECE"/>
    <w:rsid w:val="00EA0237"/>
    <w:rsid w:val="00EC4FBD"/>
    <w:rsid w:val="00ED3CE7"/>
    <w:rsid w:val="00F27EF3"/>
    <w:rsid w:val="00F63595"/>
    <w:rsid w:val="00F724D4"/>
    <w:rsid w:val="00F806BE"/>
    <w:rsid w:val="00F9151A"/>
    <w:rsid w:val="00FB0188"/>
    <w:rsid w:val="00FC4E28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7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7FD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7FD"/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7FD"/>
    <w:pPr>
      <w:spacing w:after="200"/>
    </w:pPr>
    <w:rPr>
      <w:rFonts w:ascii="Calibri" w:eastAsia="Times New Roman" w:hAnsi="Calibri" w:cs="Times New Roman"/>
      <w:b/>
      <w:bCs/>
      <w:kern w:val="0"/>
      <w:lang w:val="el-GR" w:eastAsia="el-GR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1577FD"/>
    <w:rPr>
      <w:rFonts w:ascii="Calibri" w:eastAsiaTheme="minorHAnsi" w:hAnsi="Calibri" w:cstheme="minorBidi"/>
      <w:b/>
      <w:bCs/>
      <w:kern w:val="2"/>
      <w:lang w:val="el-GR" w:eastAsia="el-GR"/>
      <w14:ligatures w14:val="standardContextual"/>
    </w:rPr>
  </w:style>
  <w:style w:type="paragraph" w:styleId="Revision">
    <w:name w:val="Revision"/>
    <w:hidden/>
    <w:uiPriority w:val="99"/>
    <w:semiHidden/>
    <w:rsid w:val="005212F3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Peter Russell (PhD School of Chemistry FT)</cp:lastModifiedBy>
  <cp:revision>12</cp:revision>
  <dcterms:created xsi:type="dcterms:W3CDTF">2025-05-20T12:43:00Z</dcterms:created>
  <dcterms:modified xsi:type="dcterms:W3CDTF">2025-05-20T12:52:00Z</dcterms:modified>
</cp:coreProperties>
</file>