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33C6" w14:textId="77777777" w:rsidR="00F74B64" w:rsidRDefault="00F74B64" w:rsidP="00172F51">
      <w:pPr>
        <w:pStyle w:val="Default"/>
        <w:jc w:val="center"/>
        <w:rPr>
          <w:b/>
          <w:bCs/>
          <w:sz w:val="28"/>
          <w:szCs w:val="28"/>
          <w:lang w:val="en-US"/>
        </w:rPr>
      </w:pPr>
      <w:r>
        <w:rPr>
          <w:b/>
          <w:bCs/>
          <w:sz w:val="28"/>
          <w:szCs w:val="28"/>
          <w:lang w:val="en-US"/>
        </w:rPr>
        <w:t>Heuristic</w:t>
      </w:r>
      <w:r w:rsidR="002119D1" w:rsidRPr="002119D1">
        <w:rPr>
          <w:b/>
          <w:bCs/>
          <w:sz w:val="28"/>
          <w:szCs w:val="28"/>
          <w:lang w:val="en-US"/>
        </w:rPr>
        <w:t xml:space="preserve"> approach to the fundamental optical constants of silver </w:t>
      </w:r>
    </w:p>
    <w:p w14:paraId="2FF06968" w14:textId="02DDCEDA" w:rsidR="00172F51" w:rsidRPr="00B00A4B" w:rsidRDefault="002119D1" w:rsidP="00172F51">
      <w:pPr>
        <w:pStyle w:val="Default"/>
        <w:jc w:val="center"/>
        <w:rPr>
          <w:b/>
          <w:bCs/>
          <w:lang w:val="en-US"/>
        </w:rPr>
      </w:pPr>
      <w:r w:rsidRPr="002119D1">
        <w:rPr>
          <w:b/>
          <w:bCs/>
          <w:sz w:val="28"/>
          <w:szCs w:val="28"/>
          <w:lang w:val="en-US"/>
        </w:rPr>
        <w:t>nanowire networks</w:t>
      </w:r>
      <w:r w:rsidR="00F74B64">
        <w:rPr>
          <w:b/>
          <w:bCs/>
          <w:sz w:val="28"/>
          <w:szCs w:val="28"/>
          <w:lang w:val="en-US"/>
        </w:rPr>
        <w:t>: experiments and theory</w:t>
      </w:r>
    </w:p>
    <w:p w14:paraId="35088509" w14:textId="77777777" w:rsidR="00172F51" w:rsidRPr="00B00A4B" w:rsidRDefault="00172F51" w:rsidP="00172F51">
      <w:pPr>
        <w:pStyle w:val="Default"/>
        <w:jc w:val="center"/>
        <w:rPr>
          <w:lang w:val="en-US"/>
        </w:rPr>
      </w:pPr>
    </w:p>
    <w:p w14:paraId="3CA507AF" w14:textId="77777777" w:rsidR="00D94B1D" w:rsidRDefault="00D94B1D" w:rsidP="00172F51">
      <w:pPr>
        <w:pStyle w:val="Default"/>
        <w:jc w:val="center"/>
        <w:rPr>
          <w:lang w:val="en-US"/>
        </w:rPr>
      </w:pPr>
      <w:r w:rsidRPr="000F4F3C">
        <w:rPr>
          <w:u w:val="single"/>
          <w:lang w:val="en-US"/>
        </w:rPr>
        <w:t>A.</w:t>
      </w:r>
      <w:r w:rsidR="002119D1" w:rsidRPr="000F4F3C">
        <w:rPr>
          <w:u w:val="single"/>
          <w:lang w:val="en-US"/>
        </w:rPr>
        <w:t xml:space="preserve"> Baret</w:t>
      </w:r>
      <w:r w:rsidR="002119D1" w:rsidRPr="000F4F3C">
        <w:rPr>
          <w:u w:val="single"/>
          <w:vertAlign w:val="superscript"/>
          <w:lang w:val="en-US"/>
        </w:rPr>
        <w:t>1,*</w:t>
      </w:r>
      <w:r w:rsidR="002119D1" w:rsidRPr="00D94B1D">
        <w:rPr>
          <w:lang w:val="en-US"/>
        </w:rPr>
        <w:t xml:space="preserve">, </w:t>
      </w:r>
      <w:r>
        <w:rPr>
          <w:lang w:val="en-US"/>
        </w:rPr>
        <w:t>J.</w:t>
      </w:r>
      <w:r w:rsidR="002119D1" w:rsidRPr="00D94B1D">
        <w:rPr>
          <w:lang w:val="en-US"/>
        </w:rPr>
        <w:t xml:space="preserve"> Baumgarten</w:t>
      </w:r>
      <w:r w:rsidR="002119D1" w:rsidRPr="00D94B1D">
        <w:rPr>
          <w:vertAlign w:val="superscript"/>
          <w:lang w:val="en-US"/>
        </w:rPr>
        <w:t>2</w:t>
      </w:r>
      <w:r w:rsidR="002119D1" w:rsidRPr="00D94B1D">
        <w:rPr>
          <w:lang w:val="en-US"/>
        </w:rPr>
        <w:t xml:space="preserve"> , </w:t>
      </w:r>
      <w:r>
        <w:rPr>
          <w:lang w:val="en-US"/>
        </w:rPr>
        <w:t>F.</w:t>
      </w:r>
      <w:r w:rsidR="002119D1" w:rsidRPr="00D94B1D">
        <w:rPr>
          <w:lang w:val="en-US"/>
        </w:rPr>
        <w:t xml:space="preserve"> Balty</w:t>
      </w:r>
      <w:r w:rsidR="002119D1" w:rsidRPr="00D94B1D">
        <w:rPr>
          <w:vertAlign w:val="superscript"/>
          <w:lang w:val="en-US"/>
        </w:rPr>
        <w:t>1</w:t>
      </w:r>
      <w:r w:rsidR="002119D1" w:rsidRPr="00D94B1D">
        <w:rPr>
          <w:lang w:val="en-US"/>
        </w:rPr>
        <w:t xml:space="preserve">, </w:t>
      </w:r>
      <w:r>
        <w:rPr>
          <w:lang w:val="en-US"/>
        </w:rPr>
        <w:t>J.</w:t>
      </w:r>
      <w:r w:rsidR="002119D1" w:rsidRPr="00D94B1D">
        <w:rPr>
          <w:lang w:val="en-US"/>
        </w:rPr>
        <w:t xml:space="preserve"> Brisbois</w:t>
      </w:r>
      <w:r w:rsidR="002119D1" w:rsidRPr="00D94B1D">
        <w:rPr>
          <w:vertAlign w:val="superscript"/>
          <w:lang w:val="en-US"/>
        </w:rPr>
        <w:t>3</w:t>
      </w:r>
      <w:r w:rsidR="002119D1" w:rsidRPr="00D94B1D">
        <w:rPr>
          <w:lang w:val="en-US"/>
        </w:rPr>
        <w:t xml:space="preserve">, </w:t>
      </w:r>
      <w:r>
        <w:rPr>
          <w:lang w:val="en-US"/>
        </w:rPr>
        <w:t>F.</w:t>
      </w:r>
      <w:r w:rsidR="002119D1" w:rsidRPr="00D94B1D">
        <w:rPr>
          <w:lang w:val="en-US"/>
        </w:rPr>
        <w:t xml:space="preserve"> Rabecki</w:t>
      </w:r>
      <w:r w:rsidR="002119D1" w:rsidRPr="00D94B1D">
        <w:rPr>
          <w:vertAlign w:val="superscript"/>
          <w:lang w:val="en-US"/>
        </w:rPr>
        <w:t>3</w:t>
      </w:r>
      <w:r w:rsidR="002119D1" w:rsidRPr="00D94B1D">
        <w:rPr>
          <w:lang w:val="en-US"/>
        </w:rPr>
        <w:t xml:space="preserve">, </w:t>
      </w:r>
      <w:r>
        <w:rPr>
          <w:lang w:val="en-US"/>
        </w:rPr>
        <w:t>B.</w:t>
      </w:r>
      <w:r w:rsidR="002119D1" w:rsidRPr="00D94B1D">
        <w:rPr>
          <w:lang w:val="en-US"/>
        </w:rPr>
        <w:t xml:space="preserve"> Zheng</w:t>
      </w:r>
      <w:r w:rsidR="002119D1" w:rsidRPr="00D94B1D">
        <w:rPr>
          <w:vertAlign w:val="superscript"/>
          <w:lang w:val="en-US"/>
        </w:rPr>
        <w:t>4</w:t>
      </w:r>
      <w:r w:rsidR="002119D1" w:rsidRPr="00D94B1D">
        <w:rPr>
          <w:lang w:val="en-US"/>
        </w:rPr>
        <w:t>,</w:t>
      </w:r>
    </w:p>
    <w:p w14:paraId="264C550F" w14:textId="2224A65C" w:rsidR="002119D1" w:rsidRPr="00076027" w:rsidRDefault="00D94B1D" w:rsidP="00172F51">
      <w:pPr>
        <w:pStyle w:val="Default"/>
        <w:jc w:val="center"/>
        <w:rPr>
          <w:vertAlign w:val="superscript"/>
          <w:lang w:val="fr-BE"/>
        </w:rPr>
      </w:pPr>
      <w:r w:rsidRPr="00076027">
        <w:rPr>
          <w:lang w:val="fr-BE"/>
        </w:rPr>
        <w:t>D.</w:t>
      </w:r>
      <w:r w:rsidR="002119D1" w:rsidRPr="00076027">
        <w:rPr>
          <w:lang w:val="fr-BE"/>
        </w:rPr>
        <w:t xml:space="preserve"> Bellet</w:t>
      </w:r>
      <w:r w:rsidR="002119D1" w:rsidRPr="00076027">
        <w:rPr>
          <w:vertAlign w:val="superscript"/>
          <w:lang w:val="fr-BE"/>
        </w:rPr>
        <w:t>4</w:t>
      </w:r>
      <w:r w:rsidR="002119D1" w:rsidRPr="00076027">
        <w:rPr>
          <w:lang w:val="fr-BE"/>
        </w:rPr>
        <w:t xml:space="preserve">, </w:t>
      </w:r>
      <w:r w:rsidRPr="00076027">
        <w:rPr>
          <w:lang w:val="fr-BE"/>
        </w:rPr>
        <w:t>N.</w:t>
      </w:r>
      <w:r w:rsidR="002119D1" w:rsidRPr="00076027">
        <w:rPr>
          <w:lang w:val="fr-BE"/>
        </w:rPr>
        <w:t xml:space="preserve"> </w:t>
      </w:r>
      <w:r w:rsidRPr="00076027">
        <w:rPr>
          <w:lang w:val="fr-BE"/>
        </w:rPr>
        <w:t>D.</w:t>
      </w:r>
      <w:r w:rsidR="002119D1" w:rsidRPr="00076027">
        <w:rPr>
          <w:lang w:val="fr-BE"/>
        </w:rPr>
        <w:t xml:space="preserve"> Nguyen</w:t>
      </w:r>
      <w:r w:rsidR="002119D1" w:rsidRPr="00076027">
        <w:rPr>
          <w:vertAlign w:val="superscript"/>
          <w:lang w:val="fr-BE"/>
        </w:rPr>
        <w:t>1</w:t>
      </w:r>
    </w:p>
    <w:p w14:paraId="36ED470C" w14:textId="77777777" w:rsidR="00D94B1D" w:rsidRPr="00076027" w:rsidRDefault="00D94B1D" w:rsidP="00172F51">
      <w:pPr>
        <w:pStyle w:val="Default"/>
        <w:jc w:val="center"/>
        <w:rPr>
          <w:sz w:val="22"/>
          <w:szCs w:val="22"/>
          <w:lang w:val="fr-BE"/>
        </w:rPr>
      </w:pPr>
    </w:p>
    <w:p w14:paraId="6BA01C3F" w14:textId="77777777" w:rsidR="002119D1" w:rsidRPr="00076027" w:rsidRDefault="002119D1" w:rsidP="002119D1">
      <w:pPr>
        <w:pStyle w:val="Default"/>
        <w:jc w:val="center"/>
        <w:rPr>
          <w:i/>
          <w:iCs/>
          <w:sz w:val="22"/>
          <w:szCs w:val="22"/>
          <w:lang w:val="fr-BE"/>
        </w:rPr>
      </w:pPr>
      <w:r w:rsidRPr="00076027">
        <w:rPr>
          <w:i/>
          <w:iCs/>
          <w:sz w:val="22"/>
          <w:szCs w:val="22"/>
          <w:vertAlign w:val="superscript"/>
          <w:lang w:val="fr-BE"/>
        </w:rPr>
        <w:t>1</w:t>
      </w:r>
      <w:r w:rsidRPr="00076027">
        <w:rPr>
          <w:i/>
          <w:iCs/>
          <w:sz w:val="22"/>
          <w:szCs w:val="22"/>
          <w:lang w:val="fr-BE"/>
        </w:rPr>
        <w:t>SPIN, Department of Physics, Université de Liège, Liège, Belgium</w:t>
      </w:r>
    </w:p>
    <w:p w14:paraId="7868907F" w14:textId="77777777" w:rsidR="002119D1" w:rsidRPr="00076027" w:rsidRDefault="002119D1" w:rsidP="002119D1">
      <w:pPr>
        <w:pStyle w:val="Default"/>
        <w:jc w:val="center"/>
        <w:rPr>
          <w:i/>
          <w:iCs/>
          <w:sz w:val="22"/>
          <w:szCs w:val="22"/>
          <w:lang w:val="fr-BE"/>
        </w:rPr>
      </w:pPr>
      <w:r w:rsidRPr="00076027">
        <w:rPr>
          <w:i/>
          <w:iCs/>
          <w:sz w:val="22"/>
          <w:szCs w:val="22"/>
          <w:vertAlign w:val="superscript"/>
          <w:lang w:val="fr-BE"/>
        </w:rPr>
        <w:t>2</w:t>
      </w:r>
      <w:r w:rsidRPr="00076027">
        <w:rPr>
          <w:i/>
          <w:iCs/>
          <w:sz w:val="22"/>
          <w:szCs w:val="22"/>
          <w:lang w:val="fr-BE"/>
        </w:rPr>
        <w:t>EPNM, Department of Physics, Université de Liège, Liège, Belgium</w:t>
      </w:r>
    </w:p>
    <w:p w14:paraId="5E7C62D4" w14:textId="77777777" w:rsidR="002119D1" w:rsidRPr="00076027" w:rsidRDefault="002119D1" w:rsidP="002119D1">
      <w:pPr>
        <w:pStyle w:val="Default"/>
        <w:jc w:val="center"/>
        <w:rPr>
          <w:i/>
          <w:iCs/>
          <w:sz w:val="22"/>
          <w:szCs w:val="22"/>
          <w:lang w:val="fr-BE"/>
        </w:rPr>
      </w:pPr>
      <w:r w:rsidRPr="00076027">
        <w:rPr>
          <w:i/>
          <w:iCs/>
          <w:sz w:val="22"/>
          <w:szCs w:val="22"/>
          <w:vertAlign w:val="superscript"/>
          <w:lang w:val="fr-BE"/>
        </w:rPr>
        <w:t>3</w:t>
      </w:r>
      <w:r w:rsidRPr="00076027">
        <w:rPr>
          <w:i/>
          <w:iCs/>
          <w:sz w:val="22"/>
          <w:szCs w:val="22"/>
          <w:lang w:val="fr-BE"/>
        </w:rPr>
        <w:t>Liège Space Center (CSL), Liège, Belgium</w:t>
      </w:r>
    </w:p>
    <w:p w14:paraId="536DF3AA" w14:textId="49F16B1D" w:rsidR="00172F51" w:rsidRDefault="002119D1" w:rsidP="002119D1">
      <w:pPr>
        <w:pStyle w:val="Default"/>
        <w:jc w:val="center"/>
        <w:rPr>
          <w:i/>
          <w:iCs/>
          <w:sz w:val="22"/>
          <w:szCs w:val="22"/>
          <w:lang w:val="fr-BE"/>
        </w:rPr>
      </w:pPr>
      <w:r w:rsidRPr="00076027">
        <w:rPr>
          <w:i/>
          <w:iCs/>
          <w:sz w:val="22"/>
          <w:szCs w:val="22"/>
          <w:vertAlign w:val="superscript"/>
          <w:lang w:val="fr-BE"/>
        </w:rPr>
        <w:t>4</w:t>
      </w:r>
      <w:r w:rsidRPr="00076027">
        <w:rPr>
          <w:i/>
          <w:iCs/>
          <w:sz w:val="22"/>
          <w:szCs w:val="22"/>
          <w:lang w:val="fr-BE"/>
        </w:rPr>
        <w:t xml:space="preserve">LMGP, INP Phelma, Université Grenoble-Alpes, Grenoble, </w:t>
      </w:r>
      <w:r w:rsidR="000F4F3C">
        <w:rPr>
          <w:i/>
          <w:iCs/>
          <w:sz w:val="22"/>
          <w:szCs w:val="22"/>
          <w:lang w:val="fr-BE"/>
        </w:rPr>
        <w:t>France</w:t>
      </w:r>
    </w:p>
    <w:p w14:paraId="13C59EE6" w14:textId="73F8A129" w:rsidR="000F4F3C" w:rsidRPr="00076027" w:rsidRDefault="000F4F3C" w:rsidP="002119D1">
      <w:pPr>
        <w:pStyle w:val="Default"/>
        <w:jc w:val="center"/>
        <w:rPr>
          <w:i/>
          <w:iCs/>
          <w:sz w:val="22"/>
          <w:szCs w:val="22"/>
          <w:lang w:val="fr-BE"/>
        </w:rPr>
      </w:pPr>
      <w:r>
        <w:rPr>
          <w:i/>
          <w:iCs/>
          <w:sz w:val="22"/>
          <w:szCs w:val="22"/>
          <w:lang w:val="fr-BE"/>
        </w:rPr>
        <w:t>* abaret@uliege.be</w:t>
      </w:r>
    </w:p>
    <w:p w14:paraId="3C299BA5" w14:textId="77777777" w:rsidR="00172F51" w:rsidRPr="00076027" w:rsidRDefault="00172F51" w:rsidP="00172F51">
      <w:pPr>
        <w:pStyle w:val="Default"/>
        <w:jc w:val="center"/>
        <w:rPr>
          <w:sz w:val="22"/>
          <w:szCs w:val="22"/>
          <w:lang w:val="fr-BE"/>
        </w:rPr>
      </w:pPr>
    </w:p>
    <w:p w14:paraId="35A9941A" w14:textId="46309926" w:rsidR="00D94B1D" w:rsidRPr="00D94B1D" w:rsidRDefault="00D94B1D" w:rsidP="00D94B1D">
      <w:pPr>
        <w:pStyle w:val="Corpsdetexte2"/>
        <w:spacing w:before="240"/>
        <w:rPr>
          <w:color w:val="000000"/>
          <w:szCs w:val="24"/>
          <w:lang w:eastAsia="el-GR"/>
        </w:rPr>
      </w:pPr>
      <w:r w:rsidRPr="00D94B1D">
        <w:rPr>
          <w:color w:val="000000"/>
          <w:szCs w:val="24"/>
          <w:lang w:eastAsia="el-GR"/>
        </w:rPr>
        <w:t>Silver nanowire (AgNW) networks are emerging as a leading class of Transparent Conducting Materials (TCMs), offering a unique combination of high optical transparency, excellent electrical conductivity, mechanical flexibility, and scalable, cost-effective production</w:t>
      </w:r>
      <w:r w:rsidR="00FE710B">
        <w:rPr>
          <w:color w:val="000000"/>
          <w:szCs w:val="24"/>
          <w:lang w:eastAsia="el-GR"/>
        </w:rPr>
        <w:t xml:space="preserve"> routes</w:t>
      </w:r>
      <w:r w:rsidRPr="00D94B1D">
        <w:rPr>
          <w:color w:val="000000"/>
          <w:szCs w:val="24"/>
          <w:lang w:eastAsia="el-GR"/>
        </w:rPr>
        <w:t xml:space="preserve">. This association of properties makes them key building blocks for </w:t>
      </w:r>
      <w:r w:rsidR="00FE710B">
        <w:rPr>
          <w:color w:val="000000"/>
          <w:szCs w:val="24"/>
          <w:lang w:eastAsia="el-GR"/>
        </w:rPr>
        <w:t xml:space="preserve">a wide range of </w:t>
      </w:r>
      <w:r w:rsidRPr="00D94B1D">
        <w:rPr>
          <w:color w:val="000000"/>
          <w:szCs w:val="24"/>
          <w:lang w:eastAsia="el-GR"/>
        </w:rPr>
        <w:t>devices such as photovoltaic cells, OLEDs, transparent heaters, sensors or smart windows</w:t>
      </w:r>
      <w:r w:rsidRPr="00D94B1D">
        <w:rPr>
          <w:color w:val="000000"/>
          <w:szCs w:val="24"/>
          <w:vertAlign w:val="superscript"/>
          <w:lang w:eastAsia="el-GR"/>
        </w:rPr>
        <w:t>[1]</w:t>
      </w:r>
      <w:r w:rsidRPr="00D94B1D">
        <w:rPr>
          <w:color w:val="000000"/>
          <w:szCs w:val="24"/>
          <w:lang w:eastAsia="el-GR"/>
        </w:rPr>
        <w:t>. The conductivity of AgNW networks arises from a percolation mechanism through nanowire junctions, while their transparency results from gaps between the nanowires, illustrating an intrinsic interplay between these properties. Understanding the optical properties of AgNW networks, often described by their refractive indices (</w:t>
      </w:r>
      <w:r w:rsidRPr="00D94B1D">
        <w:rPr>
          <w:i/>
          <w:iCs/>
          <w:color w:val="000000"/>
          <w:szCs w:val="24"/>
          <w:lang w:eastAsia="el-GR"/>
        </w:rPr>
        <w:t>n</w:t>
      </w:r>
      <w:r w:rsidRPr="00D94B1D">
        <w:rPr>
          <w:color w:val="000000"/>
          <w:szCs w:val="24"/>
          <w:lang w:eastAsia="el-GR"/>
        </w:rPr>
        <w:t xml:space="preserve">, </w:t>
      </w:r>
      <w:r w:rsidRPr="00D94B1D">
        <w:rPr>
          <w:i/>
          <w:iCs/>
          <w:color w:val="000000"/>
          <w:szCs w:val="24"/>
          <w:lang w:eastAsia="el-GR"/>
        </w:rPr>
        <w:t>k</w:t>
      </w:r>
      <w:r w:rsidRPr="00D94B1D">
        <w:rPr>
          <w:color w:val="000000"/>
          <w:szCs w:val="24"/>
          <w:lang w:eastAsia="el-GR"/>
        </w:rPr>
        <w:t>), is critical for advancing their integration into multilayer systems and devices. Furthermore, refractive indices provide fundamental insight into the material’s optical behavior and enable accurate simulations of complex multilayer designs using the Transfer Matrix Method</w:t>
      </w:r>
      <w:r w:rsidRPr="00D94B1D">
        <w:rPr>
          <w:color w:val="000000"/>
          <w:szCs w:val="24"/>
          <w:vertAlign w:val="superscript"/>
          <w:lang w:eastAsia="el-GR"/>
        </w:rPr>
        <w:t>[2]</w:t>
      </w:r>
      <w:r w:rsidRPr="00E65372">
        <w:rPr>
          <w:color w:val="000000"/>
          <w:szCs w:val="24"/>
          <w:lang w:eastAsia="el-GR"/>
        </w:rPr>
        <w:t>.</w:t>
      </w:r>
    </w:p>
    <w:p w14:paraId="45A3890E" w14:textId="51702F8E" w:rsidR="00D94B1D" w:rsidRPr="00D94B1D" w:rsidRDefault="00D94B1D" w:rsidP="00D94B1D">
      <w:pPr>
        <w:pStyle w:val="Corpsdetexte2"/>
        <w:spacing w:before="240"/>
        <w:rPr>
          <w:color w:val="000000"/>
          <w:szCs w:val="24"/>
          <w:lang w:eastAsia="el-GR"/>
        </w:rPr>
      </w:pPr>
      <w:r w:rsidRPr="00D94B1D">
        <w:rPr>
          <w:color w:val="000000"/>
          <w:szCs w:val="24"/>
          <w:lang w:eastAsia="el-GR"/>
        </w:rPr>
        <w:t xml:space="preserve">This study combines Mie’s scattering theory and van de Hulst’s mixing model to theoretically determine the refractive indices of AgNW networks without relying on fitting parameters. For the first time, refractive indices across the visible and near-infrared spectrum are calculated and validated upon experimental results. Transmittance spectra, derived from numerical solutions of Fresnel’s equations, show strong agreement with measurements, particularly for nanowires with larger diameters and at shorter wavelengths, with a relative error below 10% at </w:t>
      </w:r>
      <m:oMath>
        <m:r>
          <w:rPr>
            <w:rFonts w:ascii="Cambria Math" w:hAnsi="Cambria Math"/>
            <w:color w:val="000000"/>
            <w:szCs w:val="24"/>
            <w:lang w:eastAsia="el-GR"/>
          </w:rPr>
          <m:t>λ=550</m:t>
        </m:r>
      </m:oMath>
      <w:r w:rsidRPr="00D94B1D">
        <w:rPr>
          <w:color w:val="000000"/>
          <w:szCs w:val="24"/>
          <w:lang w:eastAsia="el-GR"/>
        </w:rPr>
        <w:t xml:space="preserve"> nm. Crucially, the findings of the present research also highlight for the first time</w:t>
      </w:r>
      <w:r w:rsidR="00FE710B">
        <w:rPr>
          <w:color w:val="000000"/>
          <w:szCs w:val="24"/>
          <w:lang w:eastAsia="el-GR"/>
        </w:rPr>
        <w:t xml:space="preserve"> in optical measurements</w:t>
      </w:r>
      <w:r w:rsidRPr="00D94B1D">
        <w:rPr>
          <w:color w:val="000000"/>
          <w:szCs w:val="24"/>
          <w:lang w:eastAsia="el-GR"/>
        </w:rPr>
        <w:t xml:space="preserve"> the predominantly metallic optical behavior of AgNW networks</w:t>
      </w:r>
      <w:r w:rsidR="00FE710B">
        <w:rPr>
          <w:color w:val="000000"/>
          <w:szCs w:val="24"/>
          <w:lang w:eastAsia="el-GR"/>
        </w:rPr>
        <w:t xml:space="preserve"> deposited on glass substrates.</w:t>
      </w:r>
    </w:p>
    <w:p w14:paraId="2050E467" w14:textId="3B2A4461" w:rsidR="00D16155" w:rsidRPr="00963BC5" w:rsidRDefault="00D94B1D" w:rsidP="00D94B1D">
      <w:pPr>
        <w:pStyle w:val="Corpsdetexte2"/>
        <w:spacing w:before="240"/>
        <w:rPr>
          <w:color w:val="000000"/>
          <w:szCs w:val="24"/>
          <w:lang w:eastAsia="el-GR"/>
        </w:rPr>
      </w:pPr>
      <w:r w:rsidRPr="00D94B1D">
        <w:rPr>
          <w:color w:val="000000"/>
          <w:szCs w:val="24"/>
          <w:lang w:eastAsia="el-GR"/>
        </w:rPr>
        <w:t>By accurately modeling the optical properties of AgNW networks, this work facilitates their integration into multilayer optical systems, supporting the development of innovative devices such as displays, sensors, and energy-efficient smart windows. Additionally, this research paves the way for a more advanced theoretical understanding of the optical properties of silver nanowire networks at the fundamental level.</w:t>
      </w:r>
    </w:p>
    <w:p w14:paraId="4543E980" w14:textId="77777777" w:rsidR="005651E5" w:rsidRPr="00674D8C" w:rsidRDefault="005651E5" w:rsidP="005651E5">
      <w:pPr>
        <w:pStyle w:val="Titre2"/>
        <w:rPr>
          <w:lang w:val="en-US"/>
        </w:rPr>
      </w:pPr>
      <w:r w:rsidRPr="00674D8C">
        <w:rPr>
          <w:lang w:val="en-US"/>
        </w:rPr>
        <w:t>References</w:t>
      </w:r>
    </w:p>
    <w:p w14:paraId="5961BD5F" w14:textId="77777777" w:rsidR="005651E5" w:rsidRDefault="005651E5" w:rsidP="005651E5">
      <w:pPr>
        <w:rPr>
          <w:sz w:val="20"/>
          <w:szCs w:val="20"/>
          <w:lang w:val="en-US"/>
        </w:rPr>
      </w:pPr>
      <w:r>
        <w:rPr>
          <w:sz w:val="20"/>
          <w:szCs w:val="20"/>
          <w:lang w:val="es-ES"/>
        </w:rPr>
        <w:t xml:space="preserve">[1] </w:t>
      </w:r>
      <w:r w:rsidRPr="0002752B">
        <w:rPr>
          <w:sz w:val="20"/>
          <w:szCs w:val="20"/>
          <w:lang w:val="en-US"/>
        </w:rPr>
        <w:t xml:space="preserve">V. H. Nguyen </w:t>
      </w:r>
      <w:r w:rsidRPr="0002752B">
        <w:rPr>
          <w:i/>
          <w:iCs/>
          <w:sz w:val="20"/>
          <w:szCs w:val="20"/>
          <w:lang w:val="en-US"/>
        </w:rPr>
        <w:t>et al.</w:t>
      </w:r>
      <w:r w:rsidRPr="0002752B">
        <w:rPr>
          <w:sz w:val="20"/>
          <w:szCs w:val="20"/>
          <w:lang w:val="en-US"/>
        </w:rPr>
        <w:t xml:space="preserve">,  </w:t>
      </w:r>
      <w:r w:rsidRPr="0002752B">
        <w:rPr>
          <w:i/>
          <w:iCs/>
          <w:sz w:val="20"/>
          <w:szCs w:val="20"/>
          <w:lang w:val="en-US"/>
        </w:rPr>
        <w:t>Small</w:t>
      </w:r>
      <w:r w:rsidRPr="0002752B">
        <w:rPr>
          <w:sz w:val="20"/>
          <w:szCs w:val="20"/>
          <w:lang w:val="en-US"/>
        </w:rPr>
        <w:t xml:space="preserve">, vol. </w:t>
      </w:r>
      <w:r w:rsidRPr="0002752B">
        <w:rPr>
          <w:b/>
          <w:bCs/>
          <w:sz w:val="20"/>
          <w:szCs w:val="20"/>
          <w:lang w:val="en-US"/>
        </w:rPr>
        <w:t>18</w:t>
      </w:r>
      <w:r w:rsidRPr="0002752B">
        <w:rPr>
          <w:sz w:val="20"/>
          <w:szCs w:val="20"/>
          <w:lang w:val="en-US"/>
        </w:rPr>
        <w:t>, n</w:t>
      </w:r>
      <w:r w:rsidRPr="0002752B">
        <w:rPr>
          <w:sz w:val="20"/>
          <w:szCs w:val="20"/>
          <w:vertAlign w:val="superscript"/>
          <w:lang w:val="en-US"/>
        </w:rPr>
        <w:t>o</w:t>
      </w:r>
      <w:r w:rsidRPr="0002752B">
        <w:rPr>
          <w:sz w:val="20"/>
          <w:szCs w:val="20"/>
          <w:lang w:val="en-US"/>
        </w:rPr>
        <w:t xml:space="preserve"> 19, p. 2106006, </w:t>
      </w:r>
      <w:r>
        <w:rPr>
          <w:sz w:val="20"/>
          <w:szCs w:val="20"/>
          <w:lang w:val="en-US"/>
        </w:rPr>
        <w:t>(2022)</w:t>
      </w:r>
    </w:p>
    <w:p w14:paraId="15AAD89B" w14:textId="77777777" w:rsidR="005651E5" w:rsidRPr="00A67EF4" w:rsidRDefault="005651E5" w:rsidP="005651E5">
      <w:pPr>
        <w:rPr>
          <w:sz w:val="20"/>
          <w:szCs w:val="20"/>
          <w:lang w:val="es-ES"/>
        </w:rPr>
      </w:pPr>
      <w:r w:rsidRPr="0006479C">
        <w:rPr>
          <w:sz w:val="20"/>
          <w:szCs w:val="20"/>
          <w:lang w:val="es-ES"/>
        </w:rPr>
        <w:t>[</w:t>
      </w:r>
      <w:r>
        <w:rPr>
          <w:sz w:val="20"/>
          <w:szCs w:val="20"/>
          <w:lang w:val="es-ES"/>
        </w:rPr>
        <w:t>2</w:t>
      </w:r>
      <w:r w:rsidRPr="0006479C">
        <w:rPr>
          <w:sz w:val="20"/>
          <w:szCs w:val="20"/>
          <w:lang w:val="es-ES"/>
        </w:rPr>
        <w:t xml:space="preserve">] M. C. Troparevsky, A. S. Sabau, A. R. Lupini, </w:t>
      </w:r>
      <w:r>
        <w:rPr>
          <w:sz w:val="20"/>
          <w:szCs w:val="20"/>
          <w:lang w:val="es-ES"/>
        </w:rPr>
        <w:t>and</w:t>
      </w:r>
      <w:r w:rsidRPr="0006479C">
        <w:rPr>
          <w:sz w:val="20"/>
          <w:szCs w:val="20"/>
          <w:lang w:val="es-ES"/>
        </w:rPr>
        <w:t xml:space="preserve"> Z. Zhang,</w:t>
      </w:r>
      <w:r w:rsidRPr="0006479C">
        <w:rPr>
          <w:i/>
          <w:iCs/>
          <w:sz w:val="20"/>
          <w:szCs w:val="20"/>
          <w:lang w:val="es-ES"/>
        </w:rPr>
        <w:t xml:space="preserve"> Opt. Express</w:t>
      </w:r>
      <w:r w:rsidRPr="0006479C">
        <w:rPr>
          <w:sz w:val="20"/>
          <w:szCs w:val="20"/>
          <w:lang w:val="es-ES"/>
        </w:rPr>
        <w:t xml:space="preserve">, </w:t>
      </w:r>
      <w:r>
        <w:rPr>
          <w:sz w:val="20"/>
          <w:szCs w:val="20"/>
          <w:lang w:val="es-ES"/>
        </w:rPr>
        <w:t xml:space="preserve">vol. </w:t>
      </w:r>
      <w:r w:rsidRPr="0006479C">
        <w:rPr>
          <w:b/>
          <w:bCs/>
          <w:sz w:val="20"/>
          <w:szCs w:val="20"/>
          <w:lang w:val="es-ES"/>
        </w:rPr>
        <w:t>18</w:t>
      </w:r>
      <w:r w:rsidRPr="0006479C">
        <w:rPr>
          <w:sz w:val="20"/>
          <w:szCs w:val="20"/>
          <w:lang w:val="es-ES"/>
        </w:rPr>
        <w:t xml:space="preserve">, nᵒ 24, p. 24715‑24721, </w:t>
      </w:r>
      <w:r>
        <w:rPr>
          <w:sz w:val="20"/>
          <w:szCs w:val="20"/>
          <w:lang w:val="es-ES"/>
        </w:rPr>
        <w:t>(2010)</w:t>
      </w:r>
    </w:p>
    <w:p w14:paraId="521EF359" w14:textId="77777777" w:rsidR="00172F51" w:rsidRPr="00172F51" w:rsidRDefault="00172F51">
      <w:pPr>
        <w:rPr>
          <w:lang w:val="en-US"/>
        </w:rPr>
      </w:pPr>
    </w:p>
    <w:sectPr w:rsidR="00172F51" w:rsidRPr="00172F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15F5C"/>
    <w:rsid w:val="00076027"/>
    <w:rsid w:val="0007701F"/>
    <w:rsid w:val="000C71EF"/>
    <w:rsid w:val="000F4F3C"/>
    <w:rsid w:val="00172F51"/>
    <w:rsid w:val="002119D1"/>
    <w:rsid w:val="002613C6"/>
    <w:rsid w:val="002A0132"/>
    <w:rsid w:val="002B1B1E"/>
    <w:rsid w:val="0036633C"/>
    <w:rsid w:val="004573FD"/>
    <w:rsid w:val="0047107B"/>
    <w:rsid w:val="004B6517"/>
    <w:rsid w:val="004B6D03"/>
    <w:rsid w:val="004E0655"/>
    <w:rsid w:val="005651E5"/>
    <w:rsid w:val="00574ABC"/>
    <w:rsid w:val="005A1240"/>
    <w:rsid w:val="00720782"/>
    <w:rsid w:val="007656F7"/>
    <w:rsid w:val="008047B5"/>
    <w:rsid w:val="008E26FD"/>
    <w:rsid w:val="00910550"/>
    <w:rsid w:val="00963BC5"/>
    <w:rsid w:val="009A3324"/>
    <w:rsid w:val="00B14154"/>
    <w:rsid w:val="00BC3385"/>
    <w:rsid w:val="00C3650E"/>
    <w:rsid w:val="00C67C56"/>
    <w:rsid w:val="00D16155"/>
    <w:rsid w:val="00D326EB"/>
    <w:rsid w:val="00D94B1D"/>
    <w:rsid w:val="00DC42A2"/>
    <w:rsid w:val="00E16B73"/>
    <w:rsid w:val="00E412FD"/>
    <w:rsid w:val="00E50186"/>
    <w:rsid w:val="00E65372"/>
    <w:rsid w:val="00E6643F"/>
    <w:rsid w:val="00F20BF4"/>
    <w:rsid w:val="00F724D4"/>
    <w:rsid w:val="00F74B64"/>
    <w:rsid w:val="00FA33ED"/>
    <w:rsid w:val="00FD0DCC"/>
    <w:rsid w:val="00FE71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paragraph" w:styleId="Titre2">
    <w:name w:val="heading 2"/>
    <w:aliases w:val="Subtitle"/>
    <w:basedOn w:val="Normal"/>
    <w:next w:val="Normal"/>
    <w:link w:val="Titre2Car"/>
    <w:uiPriority w:val="9"/>
    <w:unhideWhenUsed/>
    <w:qFormat/>
    <w:rsid w:val="005651E5"/>
    <w:pPr>
      <w:spacing w:before="240" w:after="0" w:line="240" w:lineRule="auto"/>
      <w:jc w:val="both"/>
      <w:outlineLvl w:val="1"/>
    </w:pPr>
    <w:rPr>
      <w:rFonts w:ascii="Times New Roman" w:eastAsiaTheme="minorEastAsia" w:hAnsi="Times New Roman"/>
      <w:b/>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Textedebulles">
    <w:name w:val="Balloon Text"/>
    <w:basedOn w:val="Normal"/>
    <w:link w:val="TextedebullesCar"/>
    <w:rsid w:val="002A01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2A0132"/>
    <w:rPr>
      <w:rFonts w:ascii="Tahoma" w:hAnsi="Tahoma" w:cs="Tahoma"/>
      <w:sz w:val="16"/>
      <w:szCs w:val="16"/>
      <w:lang w:val="el-GR" w:eastAsia="el-GR"/>
    </w:rPr>
  </w:style>
  <w:style w:type="paragraph" w:styleId="Corpsdetexte2">
    <w:name w:val="Body Text 2"/>
    <w:basedOn w:val="Normal"/>
    <w:link w:val="Corpsdetexte2Car"/>
    <w:rsid w:val="00963BC5"/>
    <w:pPr>
      <w:spacing w:after="0" w:line="240" w:lineRule="auto"/>
      <w:jc w:val="both"/>
    </w:pPr>
    <w:rPr>
      <w:rFonts w:ascii="Times New Roman" w:hAnsi="Times New Roman"/>
      <w:sz w:val="24"/>
      <w:szCs w:val="20"/>
      <w:lang w:val="en-US" w:eastAsia="en-GB"/>
    </w:rPr>
  </w:style>
  <w:style w:type="character" w:customStyle="1" w:styleId="Corpsdetexte2Car">
    <w:name w:val="Corps de texte 2 Car"/>
    <w:basedOn w:val="Policepardfaut"/>
    <w:link w:val="Corpsdetexte2"/>
    <w:rsid w:val="00963BC5"/>
    <w:rPr>
      <w:sz w:val="24"/>
      <w:lang w:eastAsia="en-GB"/>
    </w:rPr>
  </w:style>
  <w:style w:type="character" w:styleId="Lienhypertexte">
    <w:name w:val="Hyperlink"/>
    <w:rsid w:val="00963BC5"/>
    <w:rPr>
      <w:color w:val="0000FF"/>
      <w:u w:val="single"/>
    </w:rPr>
  </w:style>
  <w:style w:type="character" w:styleId="Mentionnonrsolue">
    <w:name w:val="Unresolved Mention"/>
    <w:basedOn w:val="Policepardfaut"/>
    <w:uiPriority w:val="99"/>
    <w:semiHidden/>
    <w:unhideWhenUsed/>
    <w:rsid w:val="00963BC5"/>
    <w:rPr>
      <w:color w:val="605E5C"/>
      <w:shd w:val="clear" w:color="auto" w:fill="E1DFDD"/>
    </w:rPr>
  </w:style>
  <w:style w:type="character" w:customStyle="1" w:styleId="Titre2Car">
    <w:name w:val="Titre 2 Car"/>
    <w:aliases w:val="Subtitle Car"/>
    <w:basedOn w:val="Policepardfaut"/>
    <w:link w:val="Titre2"/>
    <w:uiPriority w:val="9"/>
    <w:rsid w:val="005651E5"/>
    <w:rPr>
      <w:rFonts w:eastAsiaTheme="minorEastAsia"/>
      <w:b/>
      <w:sz w:val="22"/>
      <w:szCs w:val="22"/>
      <w:lang w:val="en-GB"/>
    </w:rPr>
  </w:style>
  <w:style w:type="paragraph" w:styleId="Rvision">
    <w:name w:val="Revision"/>
    <w:hidden/>
    <w:uiPriority w:val="99"/>
    <w:semiHidden/>
    <w:rsid w:val="00FE710B"/>
    <w:rPr>
      <w:rFonts w:ascii="Calibri" w:hAnsi="Calibri"/>
      <w:sz w:val="22"/>
      <w:szCs w:val="22"/>
      <w:lang w:val="el-GR" w:eastAsia="el-GR"/>
    </w:rPr>
  </w:style>
  <w:style w:type="character" w:styleId="Marquedecommentaire">
    <w:name w:val="annotation reference"/>
    <w:basedOn w:val="Policepardfaut"/>
    <w:semiHidden/>
    <w:unhideWhenUsed/>
    <w:rsid w:val="00FE710B"/>
    <w:rPr>
      <w:sz w:val="16"/>
      <w:szCs w:val="16"/>
    </w:rPr>
  </w:style>
  <w:style w:type="paragraph" w:styleId="Commentaire">
    <w:name w:val="annotation text"/>
    <w:basedOn w:val="Normal"/>
    <w:link w:val="CommentaireCar"/>
    <w:semiHidden/>
    <w:unhideWhenUsed/>
    <w:rsid w:val="00FE710B"/>
    <w:pPr>
      <w:spacing w:line="240" w:lineRule="auto"/>
    </w:pPr>
    <w:rPr>
      <w:sz w:val="20"/>
      <w:szCs w:val="20"/>
    </w:rPr>
  </w:style>
  <w:style w:type="character" w:customStyle="1" w:styleId="CommentaireCar">
    <w:name w:val="Commentaire Car"/>
    <w:basedOn w:val="Policepardfaut"/>
    <w:link w:val="Commentaire"/>
    <w:semiHidden/>
    <w:rsid w:val="00FE710B"/>
    <w:rPr>
      <w:rFonts w:ascii="Calibri" w:hAnsi="Calibri"/>
      <w:lang w:val="el-GR" w:eastAsia="el-GR"/>
    </w:rPr>
  </w:style>
  <w:style w:type="paragraph" w:styleId="Objetducommentaire">
    <w:name w:val="annotation subject"/>
    <w:basedOn w:val="Commentaire"/>
    <w:next w:val="Commentaire"/>
    <w:link w:val="ObjetducommentaireCar"/>
    <w:semiHidden/>
    <w:unhideWhenUsed/>
    <w:rsid w:val="00FE710B"/>
    <w:rPr>
      <w:b/>
      <w:bCs/>
    </w:rPr>
  </w:style>
  <w:style w:type="character" w:customStyle="1" w:styleId="ObjetducommentaireCar">
    <w:name w:val="Objet du commentaire Car"/>
    <w:basedOn w:val="CommentaireCar"/>
    <w:link w:val="Objetducommentaire"/>
    <w:semiHidden/>
    <w:rsid w:val="00FE710B"/>
    <w:rPr>
      <w:rFonts w:ascii="Calibri" w:hAnsi="Calibri"/>
      <w:b/>
      <w:bC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2464</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Amaury Baret</cp:lastModifiedBy>
  <cp:revision>10</cp:revision>
  <cp:lastPrinted>2025-05-19T09:32:00Z</cp:lastPrinted>
  <dcterms:created xsi:type="dcterms:W3CDTF">2025-05-12T13:29:00Z</dcterms:created>
  <dcterms:modified xsi:type="dcterms:W3CDTF">2025-05-19T12:01:00Z</dcterms:modified>
</cp:coreProperties>
</file>